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0BB0" w14:textId="77777777" w:rsidR="00696477" w:rsidRPr="00425252" w:rsidRDefault="00696477" w:rsidP="00696477">
      <w:pPr>
        <w:pStyle w:val="ListParagraph"/>
        <w:numPr>
          <w:ilvl w:val="0"/>
          <w:numId w:val="1"/>
        </w:numPr>
        <w:spacing w:after="0" w:line="264" w:lineRule="auto"/>
        <w:jc w:val="both"/>
        <w:rPr>
          <w:rFonts w:ascii="Times New Roman" w:hAnsi="Times New Roman"/>
          <w:b/>
          <w:sz w:val="24"/>
          <w:szCs w:val="24"/>
        </w:rPr>
      </w:pPr>
      <w:r w:rsidRPr="00425252">
        <w:rPr>
          <w:rFonts w:ascii="Times New Roman" w:hAnsi="Times New Roman"/>
          <w:b/>
          <w:sz w:val="24"/>
          <w:szCs w:val="24"/>
        </w:rPr>
        <w:t>TARPTAUTINIŲ IR NACIONALINIŲ TEISĖS AKTŲ SANTYKIS ATLIEKANT VERTINIMĄ</w:t>
      </w:r>
    </w:p>
    <w:p w14:paraId="52A90BB1" w14:textId="77777777" w:rsidR="00696477" w:rsidRPr="00425252" w:rsidRDefault="00696477" w:rsidP="00696477">
      <w:pPr>
        <w:pStyle w:val="ListParagraph"/>
        <w:spacing w:after="0" w:line="264" w:lineRule="auto"/>
        <w:ind w:left="0" w:firstLine="567"/>
        <w:jc w:val="both"/>
        <w:rPr>
          <w:rFonts w:ascii="Times New Roman" w:hAnsi="Times New Roman"/>
          <w:sz w:val="24"/>
          <w:szCs w:val="24"/>
        </w:rPr>
      </w:pPr>
    </w:p>
    <w:p w14:paraId="52A90BB2" w14:textId="5A516391" w:rsidR="00696477" w:rsidRPr="00425252" w:rsidRDefault="00696477" w:rsidP="00696477">
      <w:pPr>
        <w:spacing w:after="0" w:line="264" w:lineRule="auto"/>
        <w:ind w:firstLine="720"/>
        <w:jc w:val="both"/>
        <w:rPr>
          <w:rFonts w:ascii="Times New Roman" w:eastAsia="Calibri" w:hAnsi="Times New Roman" w:cs="Times New Roman"/>
          <w:sz w:val="24"/>
          <w:szCs w:val="24"/>
        </w:rPr>
      </w:pPr>
      <w:r w:rsidRPr="00425252">
        <w:rPr>
          <w:rFonts w:ascii="Times New Roman" w:eastAsia="Times New Roman" w:hAnsi="Times New Roman" w:cs="Times New Roman"/>
          <w:sz w:val="24"/>
          <w:szCs w:val="24"/>
        </w:rPr>
        <w:t>Praktikoje kyla klausimų dėl skirtingų</w:t>
      </w:r>
      <w:r w:rsidR="00464BC7" w:rsidRPr="00425252">
        <w:rPr>
          <w:rFonts w:ascii="Times New Roman" w:eastAsia="Times New Roman" w:hAnsi="Times New Roman" w:cs="Times New Roman"/>
          <w:sz w:val="24"/>
          <w:szCs w:val="24"/>
        </w:rPr>
        <w:t xml:space="preserve"> turt</w:t>
      </w:r>
      <w:r w:rsidR="00695063" w:rsidRPr="00425252">
        <w:rPr>
          <w:rFonts w:ascii="Times New Roman" w:eastAsia="Times New Roman" w:hAnsi="Times New Roman" w:cs="Times New Roman"/>
          <w:sz w:val="24"/>
          <w:szCs w:val="24"/>
        </w:rPr>
        <w:t>o ir verslo</w:t>
      </w:r>
      <w:r w:rsidRPr="00425252">
        <w:rPr>
          <w:rFonts w:ascii="Times New Roman" w:eastAsia="Times New Roman" w:hAnsi="Times New Roman" w:cs="Times New Roman"/>
          <w:sz w:val="24"/>
          <w:szCs w:val="24"/>
        </w:rPr>
        <w:t xml:space="preserve"> vertinimą reglamentuojančių teisės aktų ir metodinių dokumentų taikymo svarbos ir pirmenybės.</w:t>
      </w:r>
      <w:r w:rsidRPr="00425252">
        <w:rPr>
          <w:rFonts w:ascii="Times New Roman" w:eastAsia="Calibri" w:hAnsi="Times New Roman" w:cs="Times New Roman"/>
          <w:sz w:val="24"/>
          <w:szCs w:val="24"/>
        </w:rPr>
        <w:t xml:space="preserve"> </w:t>
      </w:r>
    </w:p>
    <w:p w14:paraId="52A90BB3" w14:textId="6ED0FE91" w:rsidR="00696477" w:rsidRPr="00425252" w:rsidRDefault="00696477" w:rsidP="00B07330">
      <w:pPr>
        <w:spacing w:after="0" w:line="240" w:lineRule="auto"/>
        <w:ind w:right="140" w:firstLine="720"/>
        <w:jc w:val="both"/>
        <w:rPr>
          <w:rFonts w:ascii="Times New Roman" w:eastAsia="Times New Roman" w:hAnsi="Times New Roman" w:cs="Times New Roman"/>
          <w:b/>
          <w:bCs/>
          <w:iCs/>
          <w:sz w:val="24"/>
          <w:szCs w:val="24"/>
        </w:rPr>
      </w:pPr>
      <w:r w:rsidRPr="00425252">
        <w:rPr>
          <w:rFonts w:ascii="Times New Roman" w:eastAsia="Calibri" w:hAnsi="Times New Roman" w:cs="Times New Roman"/>
          <w:b/>
          <w:bCs/>
          <w:iCs/>
          <w:sz w:val="24"/>
          <w:szCs w:val="24"/>
        </w:rPr>
        <w:t>Pirmiausia</w:t>
      </w:r>
      <w:r w:rsidRPr="00425252" w:rsidDel="00251D0F">
        <w:rPr>
          <w:rFonts w:ascii="Times New Roman" w:eastAsia="Calibri" w:hAnsi="Times New Roman" w:cs="Times New Roman"/>
          <w:b/>
          <w:bCs/>
          <w:iCs/>
          <w:sz w:val="24"/>
          <w:szCs w:val="24"/>
        </w:rPr>
        <w:t xml:space="preserve"> </w:t>
      </w:r>
      <w:r w:rsidR="00E52D70" w:rsidRPr="00425252">
        <w:rPr>
          <w:rFonts w:ascii="Times New Roman" w:eastAsia="Calibri" w:hAnsi="Times New Roman" w:cs="Times New Roman"/>
          <w:b/>
          <w:bCs/>
          <w:iCs/>
          <w:sz w:val="24"/>
          <w:szCs w:val="24"/>
        </w:rPr>
        <w:t xml:space="preserve">turto </w:t>
      </w:r>
      <w:r w:rsidR="001A29D4" w:rsidRPr="00425252">
        <w:rPr>
          <w:rFonts w:ascii="Times New Roman" w:eastAsia="Calibri" w:hAnsi="Times New Roman" w:cs="Times New Roman"/>
          <w:b/>
          <w:bCs/>
          <w:iCs/>
          <w:sz w:val="24"/>
          <w:szCs w:val="24"/>
        </w:rPr>
        <w:t xml:space="preserve">ar verslo </w:t>
      </w:r>
      <w:r w:rsidR="006D44C9" w:rsidRPr="00425252">
        <w:rPr>
          <w:rFonts w:ascii="Times New Roman" w:eastAsia="Calibri" w:hAnsi="Times New Roman" w:cs="Times New Roman"/>
          <w:b/>
          <w:bCs/>
          <w:iCs/>
          <w:sz w:val="24"/>
          <w:szCs w:val="24"/>
        </w:rPr>
        <w:t>vertintojas</w:t>
      </w:r>
      <w:r w:rsidR="001A29D4" w:rsidRPr="00425252">
        <w:rPr>
          <w:rFonts w:ascii="Times New Roman" w:eastAsia="Calibri" w:hAnsi="Times New Roman" w:cs="Times New Roman"/>
          <w:b/>
          <w:bCs/>
          <w:iCs/>
          <w:sz w:val="24"/>
          <w:szCs w:val="24"/>
        </w:rPr>
        <w:t xml:space="preserve"> (toliau – Vertintojas)</w:t>
      </w:r>
      <w:r w:rsidRPr="00425252">
        <w:rPr>
          <w:rFonts w:ascii="Times New Roman" w:eastAsia="Calibri" w:hAnsi="Times New Roman" w:cs="Times New Roman"/>
          <w:b/>
          <w:bCs/>
          <w:iCs/>
          <w:sz w:val="24"/>
          <w:szCs w:val="24"/>
        </w:rPr>
        <w:t xml:space="preserve"> turi vadovautis nacionaliniais turto ir verslo vertinimą reglamentuojančiais teisės aktais. </w:t>
      </w:r>
      <w:r w:rsidR="00CC3F04" w:rsidRPr="00425252">
        <w:rPr>
          <w:rFonts w:ascii="Times New Roman" w:eastAsia="Calibri" w:hAnsi="Times New Roman" w:cs="Times New Roman"/>
          <w:b/>
          <w:bCs/>
          <w:iCs/>
          <w:sz w:val="24"/>
          <w:szCs w:val="24"/>
        </w:rPr>
        <w:t>Jeigu</w:t>
      </w:r>
      <w:r w:rsidRPr="00425252">
        <w:rPr>
          <w:rFonts w:ascii="Times New Roman" w:eastAsia="Calibri" w:hAnsi="Times New Roman" w:cs="Times New Roman"/>
          <w:b/>
          <w:bCs/>
          <w:iCs/>
          <w:sz w:val="24"/>
          <w:szCs w:val="24"/>
        </w:rPr>
        <w:t xml:space="preserve"> nacionalinių teisės aktų nuostatose nėra reikiamų nuostatų ar atitinkamų draudimų, vertintojas turi vadovautis Tarptautiniais vertinimo standartais (toliau</w:t>
      </w:r>
      <w:r w:rsidR="00620D52" w:rsidRPr="00425252">
        <w:rPr>
          <w:rFonts w:ascii="Times New Roman" w:eastAsia="Calibri" w:hAnsi="Times New Roman" w:cs="Times New Roman"/>
          <w:b/>
          <w:bCs/>
          <w:iCs/>
          <w:sz w:val="24"/>
          <w:szCs w:val="24"/>
        </w:rPr>
        <w:t xml:space="preserve"> –</w:t>
      </w:r>
      <w:r w:rsidRPr="00425252">
        <w:rPr>
          <w:rFonts w:ascii="Times New Roman" w:eastAsia="Calibri" w:hAnsi="Times New Roman" w:cs="Times New Roman"/>
          <w:b/>
          <w:bCs/>
          <w:iCs/>
          <w:sz w:val="24"/>
          <w:szCs w:val="24"/>
        </w:rPr>
        <w:t xml:space="preserve"> TVS) ir Europos vertinimo standartais (toliau </w:t>
      </w:r>
      <w:r w:rsidR="00620D52" w:rsidRPr="00425252">
        <w:rPr>
          <w:rFonts w:ascii="Times New Roman" w:eastAsia="Calibri" w:hAnsi="Times New Roman" w:cs="Times New Roman"/>
          <w:b/>
          <w:bCs/>
          <w:iCs/>
          <w:sz w:val="24"/>
          <w:szCs w:val="24"/>
        </w:rPr>
        <w:t xml:space="preserve">– </w:t>
      </w:r>
      <w:r w:rsidRPr="00425252">
        <w:rPr>
          <w:rFonts w:ascii="Times New Roman" w:eastAsia="Calibri" w:hAnsi="Times New Roman" w:cs="Times New Roman"/>
          <w:b/>
          <w:bCs/>
          <w:iCs/>
          <w:sz w:val="24"/>
          <w:szCs w:val="24"/>
        </w:rPr>
        <w:t>EVS</w:t>
      </w:r>
      <w:r w:rsidR="0020741C" w:rsidRPr="00425252">
        <w:rPr>
          <w:rFonts w:ascii="Times New Roman" w:eastAsia="Calibri" w:hAnsi="Times New Roman" w:cs="Times New Roman"/>
          <w:b/>
          <w:bCs/>
          <w:iCs/>
          <w:sz w:val="24"/>
          <w:szCs w:val="24"/>
        </w:rPr>
        <w:t>)</w:t>
      </w:r>
      <w:r w:rsidR="00250319" w:rsidRPr="00425252">
        <w:rPr>
          <w:rFonts w:ascii="Times New Roman" w:eastAsia="Calibri" w:hAnsi="Times New Roman" w:cs="Times New Roman"/>
          <w:b/>
          <w:bCs/>
          <w:iCs/>
          <w:sz w:val="24"/>
          <w:szCs w:val="24"/>
        </w:rPr>
        <w:t xml:space="preserve"> </w:t>
      </w:r>
      <w:r w:rsidR="00213AF1" w:rsidRPr="00425252">
        <w:rPr>
          <w:rFonts w:ascii="Times New Roman" w:eastAsia="Calibri" w:hAnsi="Times New Roman" w:cs="Times New Roman"/>
          <w:b/>
          <w:bCs/>
          <w:iCs/>
          <w:sz w:val="24"/>
          <w:szCs w:val="24"/>
        </w:rPr>
        <w:t>(</w:t>
      </w:r>
      <w:r w:rsidR="00D63CD0" w:rsidRPr="00425252">
        <w:rPr>
          <w:rFonts w:ascii="Times New Roman" w:eastAsia="Times New Roman" w:hAnsi="Times New Roman" w:cs="Times New Roman"/>
          <w:b/>
          <w:bCs/>
          <w:sz w:val="24"/>
          <w:szCs w:val="24"/>
        </w:rPr>
        <w:t>toliau kartu vadina</w:t>
      </w:r>
      <w:r w:rsidR="0061301E" w:rsidRPr="00425252">
        <w:rPr>
          <w:rFonts w:ascii="Times New Roman" w:eastAsia="Times New Roman" w:hAnsi="Times New Roman" w:cs="Times New Roman"/>
          <w:b/>
          <w:bCs/>
          <w:sz w:val="24"/>
          <w:szCs w:val="24"/>
        </w:rPr>
        <w:t>m</w:t>
      </w:r>
      <w:r w:rsidR="0020741C" w:rsidRPr="00425252">
        <w:rPr>
          <w:rFonts w:ascii="Times New Roman" w:eastAsia="Times New Roman" w:hAnsi="Times New Roman" w:cs="Times New Roman"/>
          <w:b/>
          <w:bCs/>
          <w:sz w:val="24"/>
          <w:szCs w:val="24"/>
        </w:rPr>
        <w:t xml:space="preserve">i </w:t>
      </w:r>
      <w:r w:rsidR="00250319" w:rsidRPr="00425252">
        <w:rPr>
          <w:rFonts w:ascii="Times New Roman" w:eastAsia="Times New Roman" w:hAnsi="Times New Roman" w:cs="Times New Roman"/>
          <w:b/>
          <w:bCs/>
          <w:sz w:val="24"/>
          <w:szCs w:val="24"/>
        </w:rPr>
        <w:t>Standartai</w:t>
      </w:r>
      <w:r w:rsidR="0020741C" w:rsidRPr="00425252">
        <w:rPr>
          <w:rFonts w:ascii="Times New Roman" w:eastAsia="Times New Roman" w:hAnsi="Times New Roman" w:cs="Times New Roman"/>
          <w:b/>
          <w:bCs/>
          <w:sz w:val="24"/>
          <w:szCs w:val="24"/>
        </w:rPr>
        <w:t>s</w:t>
      </w:r>
      <w:r w:rsidR="00213AF1" w:rsidRPr="00425252">
        <w:rPr>
          <w:rFonts w:ascii="Times New Roman" w:eastAsia="Times New Roman" w:hAnsi="Times New Roman" w:cs="Times New Roman"/>
          <w:b/>
          <w:bCs/>
          <w:sz w:val="24"/>
          <w:szCs w:val="24"/>
        </w:rPr>
        <w:t>)</w:t>
      </w:r>
      <w:r w:rsidRPr="00425252">
        <w:rPr>
          <w:rFonts w:ascii="Times New Roman" w:eastAsia="Calibri" w:hAnsi="Times New Roman" w:cs="Times New Roman"/>
          <w:b/>
          <w:bCs/>
          <w:iCs/>
          <w:sz w:val="24"/>
          <w:szCs w:val="24"/>
        </w:rPr>
        <w:t>.</w:t>
      </w:r>
      <w:r w:rsidRPr="00425252">
        <w:rPr>
          <w:rFonts w:ascii="Times New Roman" w:eastAsia="Times New Roman" w:hAnsi="Times New Roman" w:cs="Times New Roman"/>
          <w:b/>
          <w:bCs/>
          <w:iCs/>
          <w:sz w:val="24"/>
          <w:szCs w:val="24"/>
        </w:rPr>
        <w:t xml:space="preserve"> </w:t>
      </w:r>
    </w:p>
    <w:p w14:paraId="52A90BB4" w14:textId="6D54601B" w:rsidR="00696477" w:rsidRPr="00425252" w:rsidRDefault="00696477" w:rsidP="00696477">
      <w:pPr>
        <w:spacing w:after="0" w:line="240" w:lineRule="auto"/>
        <w:jc w:val="both"/>
        <w:rPr>
          <w:rFonts w:ascii="Times New Roman" w:eastAsia="Times New Roman" w:hAnsi="Times New Roman" w:cs="Times New Roman"/>
          <w:sz w:val="24"/>
          <w:szCs w:val="24"/>
          <w:lang w:eastAsia="lt-LT"/>
        </w:rPr>
      </w:pPr>
      <w:r w:rsidRPr="00425252">
        <w:rPr>
          <w:rFonts w:ascii="Times New Roman" w:eastAsia="Times New Roman" w:hAnsi="Times New Roman" w:cs="Times New Roman"/>
          <w:sz w:val="24"/>
          <w:szCs w:val="24"/>
        </w:rPr>
        <w:t xml:space="preserve"> </w:t>
      </w:r>
      <w:r w:rsidRPr="00425252">
        <w:rPr>
          <w:rFonts w:ascii="Times New Roman" w:eastAsia="Times New Roman" w:hAnsi="Times New Roman" w:cs="Times New Roman"/>
          <w:sz w:val="24"/>
          <w:szCs w:val="24"/>
        </w:rPr>
        <w:tab/>
      </w:r>
      <w:r w:rsidRPr="00425252">
        <w:rPr>
          <w:rFonts w:ascii="Times New Roman" w:eastAsia="Calibri" w:hAnsi="Times New Roman" w:cs="Times New Roman"/>
          <w:sz w:val="24"/>
          <w:szCs w:val="24"/>
        </w:rPr>
        <w:t xml:space="preserve">Pažymėtina, kad LR </w:t>
      </w:r>
      <w:r w:rsidR="006D4419" w:rsidRPr="00425252">
        <w:rPr>
          <w:rFonts w:ascii="Times New Roman" w:eastAsia="Calibri" w:hAnsi="Times New Roman" w:cs="Times New Roman"/>
          <w:sz w:val="24"/>
          <w:szCs w:val="24"/>
        </w:rPr>
        <w:t xml:space="preserve">turto </w:t>
      </w:r>
      <w:r w:rsidRPr="00425252">
        <w:rPr>
          <w:rFonts w:ascii="Times New Roman" w:eastAsia="Calibri" w:hAnsi="Times New Roman" w:cs="Times New Roman"/>
          <w:sz w:val="24"/>
          <w:szCs w:val="24"/>
        </w:rPr>
        <w:t>ir verslo vertinimo pagrindų įstatyme</w:t>
      </w:r>
      <w:r w:rsidRPr="00425252">
        <w:rPr>
          <w:rFonts w:ascii="Times New Roman" w:hAnsi="Times New Roman" w:cs="Times New Roman"/>
          <w:bCs/>
          <w:iCs/>
          <w:sz w:val="24"/>
          <w:szCs w:val="24"/>
        </w:rPr>
        <w:t xml:space="preserve"> (toliau </w:t>
      </w:r>
      <w:r w:rsidR="00A30694" w:rsidRPr="00425252">
        <w:rPr>
          <w:rFonts w:ascii="Times New Roman" w:hAnsi="Times New Roman" w:cs="Times New Roman"/>
          <w:bCs/>
          <w:iCs/>
          <w:sz w:val="24"/>
          <w:szCs w:val="24"/>
        </w:rPr>
        <w:t>– Į</w:t>
      </w:r>
      <w:r w:rsidRPr="00425252">
        <w:rPr>
          <w:rFonts w:ascii="Times New Roman" w:hAnsi="Times New Roman" w:cs="Times New Roman"/>
          <w:bCs/>
          <w:iCs/>
          <w:sz w:val="24"/>
          <w:szCs w:val="24"/>
        </w:rPr>
        <w:t>statymas)</w:t>
      </w:r>
      <w:r w:rsidRPr="00425252">
        <w:rPr>
          <w:rFonts w:ascii="Times New Roman" w:eastAsia="Calibri" w:hAnsi="Times New Roman" w:cs="Times New Roman"/>
          <w:sz w:val="24"/>
          <w:szCs w:val="24"/>
        </w:rPr>
        <w:t xml:space="preserve"> ir </w:t>
      </w:r>
      <w:r w:rsidR="00754AE5" w:rsidRPr="00425252">
        <w:rPr>
          <w:rFonts w:ascii="Times New Roman" w:eastAsia="Times New Roman" w:hAnsi="Times New Roman" w:cs="Times New Roman"/>
          <w:sz w:val="24"/>
          <w:szCs w:val="24"/>
          <w:lang w:eastAsia="lt-LT"/>
        </w:rPr>
        <w:t xml:space="preserve">LR finansų ministro </w:t>
      </w:r>
      <w:r w:rsidR="00773EFA" w:rsidRPr="00425252">
        <w:rPr>
          <w:rFonts w:ascii="Times New Roman" w:eastAsia="Times New Roman" w:hAnsi="Times New Roman" w:cs="Times New Roman"/>
          <w:sz w:val="24"/>
          <w:szCs w:val="24"/>
          <w:lang w:eastAsia="lt-LT"/>
        </w:rPr>
        <w:t xml:space="preserve">2012-04-27 d. įsakymu Nr. 1K-159 </w:t>
      </w:r>
      <w:r w:rsidRPr="00425252">
        <w:rPr>
          <w:rFonts w:ascii="Times New Roman" w:eastAsia="Times New Roman" w:hAnsi="Times New Roman" w:cs="Times New Roman"/>
          <w:sz w:val="24"/>
          <w:szCs w:val="24"/>
          <w:lang w:eastAsia="lt-LT"/>
        </w:rPr>
        <w:t>patvirtint</w:t>
      </w:r>
      <w:r w:rsidR="00D145BA" w:rsidRPr="00425252">
        <w:rPr>
          <w:rFonts w:ascii="Times New Roman" w:eastAsia="Times New Roman" w:hAnsi="Times New Roman" w:cs="Times New Roman"/>
          <w:sz w:val="24"/>
          <w:szCs w:val="24"/>
          <w:lang w:eastAsia="lt-LT"/>
        </w:rPr>
        <w:t>oje</w:t>
      </w:r>
      <w:r w:rsidRPr="00425252">
        <w:rPr>
          <w:rFonts w:ascii="Times New Roman" w:eastAsia="Times New Roman" w:hAnsi="Times New Roman" w:cs="Times New Roman"/>
          <w:sz w:val="24"/>
          <w:szCs w:val="24"/>
          <w:lang w:eastAsia="lt-LT"/>
        </w:rPr>
        <w:t xml:space="preserve"> </w:t>
      </w:r>
      <w:r w:rsidR="00773EFA" w:rsidRPr="00425252">
        <w:rPr>
          <w:rFonts w:ascii="Times New Roman" w:eastAsia="Calibri" w:hAnsi="Times New Roman" w:cs="Times New Roman"/>
          <w:sz w:val="24"/>
          <w:szCs w:val="24"/>
        </w:rPr>
        <w:t>Turto ir verslo vertinimo metodikoje</w:t>
      </w:r>
      <w:r w:rsidRPr="00425252">
        <w:rPr>
          <w:rFonts w:ascii="Times New Roman" w:eastAsia="Times New Roman" w:hAnsi="Times New Roman" w:cs="Times New Roman"/>
          <w:sz w:val="24"/>
          <w:szCs w:val="24"/>
          <w:lang w:eastAsia="lt-LT"/>
        </w:rPr>
        <w:t xml:space="preserve"> (toliau </w:t>
      </w:r>
      <w:r w:rsidR="001231BA" w:rsidRPr="00425252">
        <w:rPr>
          <w:rFonts w:ascii="Times New Roman" w:eastAsia="Times New Roman" w:hAnsi="Times New Roman" w:cs="Times New Roman"/>
          <w:sz w:val="24"/>
          <w:szCs w:val="24"/>
          <w:lang w:eastAsia="lt-LT"/>
        </w:rPr>
        <w:t xml:space="preserve">– </w:t>
      </w:r>
      <w:r w:rsidRPr="00425252">
        <w:rPr>
          <w:rFonts w:ascii="Times New Roman" w:eastAsia="Times New Roman" w:hAnsi="Times New Roman" w:cs="Times New Roman"/>
          <w:sz w:val="24"/>
          <w:szCs w:val="24"/>
          <w:lang w:eastAsia="lt-LT"/>
        </w:rPr>
        <w:t>Metodika)</w:t>
      </w:r>
      <w:r w:rsidRPr="00425252">
        <w:rPr>
          <w:rFonts w:ascii="Times New Roman" w:eastAsia="Calibri" w:hAnsi="Times New Roman" w:cs="Times New Roman"/>
          <w:sz w:val="24"/>
          <w:szCs w:val="24"/>
        </w:rPr>
        <w:t xml:space="preserve"> aiškiai suformuluota nuoroda į </w:t>
      </w:r>
      <w:r w:rsidR="000869F1" w:rsidRPr="00425252">
        <w:rPr>
          <w:rFonts w:ascii="Times New Roman" w:eastAsia="Calibri" w:hAnsi="Times New Roman" w:cs="Times New Roman"/>
          <w:sz w:val="24"/>
          <w:szCs w:val="24"/>
        </w:rPr>
        <w:t>Standar</w:t>
      </w:r>
      <w:r w:rsidRPr="00425252">
        <w:rPr>
          <w:rFonts w:ascii="Times New Roman" w:eastAsia="Calibri" w:hAnsi="Times New Roman" w:cs="Times New Roman"/>
          <w:sz w:val="24"/>
          <w:szCs w:val="24"/>
        </w:rPr>
        <w:t xml:space="preserve">tų taikymą </w:t>
      </w:r>
      <w:r w:rsidR="005A59D8" w:rsidRPr="00425252">
        <w:rPr>
          <w:rFonts w:ascii="Times New Roman" w:eastAsia="Calibri" w:hAnsi="Times New Roman" w:cs="Times New Roman"/>
          <w:sz w:val="24"/>
          <w:szCs w:val="24"/>
        </w:rPr>
        <w:t>atliekant vertinimą</w:t>
      </w:r>
      <w:r w:rsidRPr="00425252">
        <w:rPr>
          <w:rFonts w:ascii="Times New Roman" w:eastAsia="Calibri" w:hAnsi="Times New Roman" w:cs="Times New Roman"/>
          <w:sz w:val="24"/>
          <w:szCs w:val="24"/>
        </w:rPr>
        <w:t>. P</w:t>
      </w:r>
      <w:r w:rsidR="008A1ACD" w:rsidRPr="00425252">
        <w:rPr>
          <w:rFonts w:ascii="Times New Roman" w:eastAsia="Calibri" w:hAnsi="Times New Roman" w:cs="Times New Roman"/>
          <w:sz w:val="24"/>
          <w:szCs w:val="24"/>
        </w:rPr>
        <w:t>a</w:t>
      </w:r>
      <w:r w:rsidRPr="00425252">
        <w:rPr>
          <w:rFonts w:ascii="Times New Roman" w:eastAsia="Calibri" w:hAnsi="Times New Roman" w:cs="Times New Roman"/>
          <w:sz w:val="24"/>
          <w:szCs w:val="24"/>
        </w:rPr>
        <w:t>v</w:t>
      </w:r>
      <w:r w:rsidR="008A1ACD" w:rsidRPr="00425252">
        <w:rPr>
          <w:rFonts w:ascii="Times New Roman" w:eastAsia="Calibri" w:hAnsi="Times New Roman" w:cs="Times New Roman"/>
          <w:sz w:val="24"/>
          <w:szCs w:val="24"/>
        </w:rPr>
        <w:t>y</w:t>
      </w:r>
      <w:r w:rsidRPr="00425252">
        <w:rPr>
          <w:rFonts w:ascii="Times New Roman" w:eastAsia="Calibri" w:hAnsi="Times New Roman" w:cs="Times New Roman"/>
          <w:sz w:val="24"/>
          <w:szCs w:val="24"/>
        </w:rPr>
        <w:t>z</w:t>
      </w:r>
      <w:r w:rsidR="008A1ACD" w:rsidRPr="00425252">
        <w:rPr>
          <w:rFonts w:ascii="Times New Roman" w:eastAsia="Calibri" w:hAnsi="Times New Roman" w:cs="Times New Roman"/>
          <w:sz w:val="24"/>
          <w:szCs w:val="24"/>
        </w:rPr>
        <w:t>džiui</w:t>
      </w:r>
      <w:r w:rsidRPr="00425252">
        <w:rPr>
          <w:rFonts w:ascii="Times New Roman" w:eastAsia="Calibri" w:hAnsi="Times New Roman" w:cs="Times New Roman"/>
          <w:sz w:val="24"/>
          <w:szCs w:val="24"/>
        </w:rPr>
        <w:t xml:space="preserve">, </w:t>
      </w:r>
      <w:r w:rsidRPr="00425252">
        <w:rPr>
          <w:rFonts w:ascii="Times New Roman" w:hAnsi="Times New Roman" w:cs="Times New Roman"/>
          <w:bCs/>
          <w:iCs/>
          <w:sz w:val="24"/>
          <w:szCs w:val="24"/>
        </w:rPr>
        <w:t xml:space="preserve">Įstatymo 5 str. 4 </w:t>
      </w:r>
      <w:r w:rsidR="00482914" w:rsidRPr="00425252">
        <w:rPr>
          <w:rFonts w:ascii="Times New Roman" w:hAnsi="Times New Roman" w:cs="Times New Roman"/>
          <w:bCs/>
          <w:iCs/>
          <w:sz w:val="24"/>
          <w:szCs w:val="24"/>
        </w:rPr>
        <w:t>d</w:t>
      </w:r>
      <w:r w:rsidRPr="00425252">
        <w:rPr>
          <w:rFonts w:ascii="Times New Roman" w:hAnsi="Times New Roman" w:cs="Times New Roman"/>
          <w:bCs/>
          <w:iCs/>
          <w:sz w:val="24"/>
          <w:szCs w:val="24"/>
        </w:rPr>
        <w:t xml:space="preserve">. turto arba verslo </w:t>
      </w:r>
      <w:r w:rsidR="00B42771" w:rsidRPr="00425252">
        <w:rPr>
          <w:rFonts w:ascii="Times New Roman" w:hAnsi="Times New Roman" w:cs="Times New Roman"/>
          <w:bCs/>
          <w:iCs/>
          <w:sz w:val="24"/>
          <w:szCs w:val="24"/>
        </w:rPr>
        <w:t xml:space="preserve">vertei nustatyti </w:t>
      </w:r>
      <w:r w:rsidRPr="00425252">
        <w:rPr>
          <w:rFonts w:ascii="Times New Roman" w:hAnsi="Times New Roman" w:cs="Times New Roman"/>
          <w:bCs/>
          <w:iCs/>
          <w:sz w:val="24"/>
          <w:szCs w:val="24"/>
        </w:rPr>
        <w:t>nurodo galimybę taikyti ir „</w:t>
      </w:r>
      <w:r w:rsidRPr="00425252">
        <w:rPr>
          <w:rFonts w:ascii="Times New Roman" w:hAnsi="Times New Roman" w:cs="Times New Roman"/>
          <w:sz w:val="24"/>
          <w:szCs w:val="24"/>
        </w:rPr>
        <w:t>kitus Tarptautiniuose vertinimo standartuose ir Europos vertinimo standartuose nustatytus turto arba verslo vertės nustatymo pagrindus</w:t>
      </w:r>
      <w:r w:rsidRPr="00425252">
        <w:rPr>
          <w:rFonts w:ascii="Times New Roman" w:eastAsia="Calibri" w:hAnsi="Times New Roman" w:cs="Times New Roman"/>
          <w:sz w:val="24"/>
          <w:szCs w:val="24"/>
        </w:rPr>
        <w:t>“</w:t>
      </w:r>
      <w:r w:rsidR="002E4B50" w:rsidRPr="00425252">
        <w:rPr>
          <w:rFonts w:ascii="Times New Roman" w:eastAsia="Calibri" w:hAnsi="Times New Roman" w:cs="Times New Roman"/>
          <w:sz w:val="24"/>
          <w:szCs w:val="24"/>
        </w:rPr>
        <w:t>.</w:t>
      </w:r>
      <w:r w:rsidRPr="00425252">
        <w:rPr>
          <w:rFonts w:ascii="Times New Roman" w:eastAsia="Calibri" w:hAnsi="Times New Roman" w:cs="Times New Roman"/>
          <w:sz w:val="24"/>
          <w:szCs w:val="24"/>
        </w:rPr>
        <w:t xml:space="preserve"> </w:t>
      </w:r>
      <w:r w:rsidR="00C95252" w:rsidRPr="00425252">
        <w:rPr>
          <w:rFonts w:ascii="Times New Roman" w:eastAsia="Calibri" w:hAnsi="Times New Roman" w:cs="Times New Roman"/>
          <w:sz w:val="24"/>
          <w:szCs w:val="24"/>
        </w:rPr>
        <w:t xml:space="preserve">Visiems </w:t>
      </w:r>
      <w:r w:rsidR="00761722" w:rsidRPr="00425252">
        <w:rPr>
          <w:rFonts w:ascii="Times New Roman" w:eastAsia="Calibri" w:hAnsi="Times New Roman" w:cs="Times New Roman"/>
          <w:sz w:val="24"/>
          <w:szCs w:val="24"/>
        </w:rPr>
        <w:t xml:space="preserve">Metodikos II skyriuje „Vertinimo tikslai“ </w:t>
      </w:r>
      <w:r w:rsidR="00C95252" w:rsidRPr="00425252">
        <w:rPr>
          <w:rFonts w:ascii="Times New Roman" w:eastAsia="Calibri" w:hAnsi="Times New Roman" w:cs="Times New Roman"/>
          <w:sz w:val="24"/>
          <w:szCs w:val="24"/>
        </w:rPr>
        <w:t>nurodytiems ve</w:t>
      </w:r>
      <w:r w:rsidR="00483C4A" w:rsidRPr="00425252">
        <w:rPr>
          <w:rFonts w:ascii="Times New Roman" w:eastAsia="Calibri" w:hAnsi="Times New Roman" w:cs="Times New Roman"/>
          <w:sz w:val="24"/>
          <w:szCs w:val="24"/>
        </w:rPr>
        <w:t>rtinimo tikslam</w:t>
      </w:r>
      <w:r w:rsidRPr="00425252">
        <w:rPr>
          <w:rFonts w:ascii="Times New Roman" w:eastAsia="Calibri" w:hAnsi="Times New Roman" w:cs="Times New Roman"/>
          <w:sz w:val="24"/>
          <w:szCs w:val="24"/>
        </w:rPr>
        <w:t xml:space="preserve">s </w:t>
      </w:r>
      <w:r w:rsidR="00D21CA8" w:rsidRPr="00425252">
        <w:rPr>
          <w:rFonts w:ascii="Times New Roman" w:eastAsia="Calibri" w:hAnsi="Times New Roman" w:cs="Times New Roman"/>
          <w:sz w:val="24"/>
          <w:szCs w:val="24"/>
        </w:rPr>
        <w:t>galioja</w:t>
      </w:r>
      <w:r w:rsidRPr="00425252">
        <w:rPr>
          <w:rFonts w:ascii="Times New Roman" w:eastAsia="Calibri" w:hAnsi="Times New Roman" w:cs="Times New Roman"/>
          <w:sz w:val="24"/>
          <w:szCs w:val="24"/>
        </w:rPr>
        <w:t xml:space="preserve">: </w:t>
      </w:r>
      <w:r w:rsidR="008A1ACD" w:rsidRPr="00425252">
        <w:rPr>
          <w:rFonts w:ascii="Times New Roman" w:hAnsi="Times New Roman" w:cs="Times New Roman"/>
          <w:sz w:val="24"/>
          <w:szCs w:val="24"/>
        </w:rPr>
        <w:t>„</w:t>
      </w:r>
      <w:r w:rsidRPr="00425252">
        <w:rPr>
          <w:rFonts w:ascii="Times New Roman" w:hAnsi="Times New Roman" w:cs="Times New Roman"/>
          <w:sz w:val="24"/>
          <w:szCs w:val="24"/>
        </w:rPr>
        <w:t xml:space="preserve">Vertinant </w:t>
      </w:r>
      <w:r w:rsidR="00216276" w:rsidRPr="00425252">
        <w:rPr>
          <w:rFonts w:ascii="Times New Roman" w:hAnsi="Times New Roman" w:cs="Times New Roman"/>
          <w:sz w:val="24"/>
          <w:szCs w:val="24"/>
        </w:rPr>
        <w:t>&lt;</w:t>
      </w:r>
      <w:r w:rsidRPr="00425252">
        <w:rPr>
          <w:rFonts w:ascii="Times New Roman" w:hAnsi="Times New Roman" w:cs="Times New Roman"/>
          <w:sz w:val="24"/>
          <w:szCs w:val="24"/>
        </w:rPr>
        <w:t>…</w:t>
      </w:r>
      <w:r w:rsidR="00216276" w:rsidRPr="00425252">
        <w:rPr>
          <w:rFonts w:ascii="Times New Roman" w:hAnsi="Times New Roman" w:cs="Times New Roman"/>
          <w:sz w:val="24"/>
          <w:szCs w:val="24"/>
        </w:rPr>
        <w:t>&gt;</w:t>
      </w:r>
      <w:r w:rsidRPr="00425252">
        <w:rPr>
          <w:rFonts w:ascii="Times New Roman" w:hAnsi="Times New Roman" w:cs="Times New Roman"/>
          <w:sz w:val="24"/>
          <w:szCs w:val="24"/>
        </w:rPr>
        <w:t xml:space="preserve"> tikslu nustatoma: a) rinkos vertė, taikant individualų vertinimą; b) kitos Tarptautiniuose vertinimo standartuose, Europos vertinimo standartuose nurodytos vertės, taikant individualų vertinimą</w:t>
      </w:r>
      <w:r w:rsidR="008A1ACD" w:rsidRPr="00425252">
        <w:rPr>
          <w:rFonts w:ascii="Times New Roman" w:hAnsi="Times New Roman" w:cs="Times New Roman"/>
          <w:sz w:val="24"/>
          <w:szCs w:val="24"/>
        </w:rPr>
        <w:t>“</w:t>
      </w:r>
      <w:r w:rsidRPr="00425252">
        <w:rPr>
          <w:rFonts w:ascii="Times New Roman" w:hAnsi="Times New Roman" w:cs="Times New Roman"/>
          <w:sz w:val="24"/>
          <w:szCs w:val="24"/>
        </w:rPr>
        <w:t xml:space="preserve">. </w:t>
      </w:r>
    </w:p>
    <w:p w14:paraId="52A90BB5" w14:textId="114FF795" w:rsidR="00696477" w:rsidRPr="00425252" w:rsidRDefault="009E7A70" w:rsidP="00696477">
      <w:pPr>
        <w:spacing w:after="0" w:line="264" w:lineRule="auto"/>
        <w:ind w:firstLine="720"/>
        <w:jc w:val="both"/>
        <w:rPr>
          <w:rFonts w:ascii="Times New Roman" w:eastAsia="Times New Roman" w:hAnsi="Times New Roman" w:cs="Times New Roman"/>
          <w:sz w:val="24"/>
          <w:szCs w:val="24"/>
        </w:rPr>
      </w:pPr>
      <w:r w:rsidRPr="00425252">
        <w:rPr>
          <w:rFonts w:ascii="Times New Roman" w:eastAsia="Times New Roman" w:hAnsi="Times New Roman" w:cs="Times New Roman"/>
          <w:sz w:val="24"/>
          <w:szCs w:val="24"/>
        </w:rPr>
        <w:t>Standart</w:t>
      </w:r>
      <w:r w:rsidR="00894CB9" w:rsidRPr="00425252">
        <w:rPr>
          <w:rFonts w:ascii="Times New Roman" w:eastAsia="Times New Roman" w:hAnsi="Times New Roman" w:cs="Times New Roman"/>
          <w:sz w:val="24"/>
          <w:szCs w:val="24"/>
        </w:rPr>
        <w:t>us</w:t>
      </w:r>
      <w:r w:rsidR="00696477" w:rsidRPr="00425252">
        <w:rPr>
          <w:rFonts w:ascii="Times New Roman" w:eastAsia="Times New Roman" w:hAnsi="Times New Roman" w:cs="Times New Roman"/>
          <w:sz w:val="24"/>
          <w:szCs w:val="24"/>
        </w:rPr>
        <w:t xml:space="preserve"> prival</w:t>
      </w:r>
      <w:r w:rsidR="00894CB9" w:rsidRPr="00425252">
        <w:rPr>
          <w:rFonts w:ascii="Times New Roman" w:eastAsia="Times New Roman" w:hAnsi="Times New Roman" w:cs="Times New Roman"/>
          <w:sz w:val="24"/>
          <w:szCs w:val="24"/>
        </w:rPr>
        <w:t>u</w:t>
      </w:r>
      <w:r w:rsidR="00696477" w:rsidRPr="00425252">
        <w:rPr>
          <w:rFonts w:ascii="Times New Roman" w:eastAsia="Times New Roman" w:hAnsi="Times New Roman" w:cs="Times New Roman"/>
          <w:sz w:val="24"/>
          <w:szCs w:val="24"/>
        </w:rPr>
        <w:t xml:space="preserve"> taikyti</w:t>
      </w:r>
      <w:r w:rsidR="00696477" w:rsidRPr="00425252">
        <w:rPr>
          <w:rFonts w:ascii="Times New Roman" w:eastAsia="Calibri" w:hAnsi="Times New Roman" w:cs="Times New Roman"/>
          <w:sz w:val="24"/>
          <w:szCs w:val="24"/>
        </w:rPr>
        <w:t xml:space="preserve">. </w:t>
      </w:r>
      <w:r w:rsidR="00F5705C" w:rsidRPr="00425252">
        <w:rPr>
          <w:rFonts w:ascii="Times New Roman" w:eastAsia="Times New Roman" w:hAnsi="Times New Roman" w:cs="Times New Roman"/>
          <w:sz w:val="24"/>
          <w:szCs w:val="24"/>
        </w:rPr>
        <w:t>Kai</w:t>
      </w:r>
      <w:r w:rsidR="00696477" w:rsidRPr="00425252">
        <w:rPr>
          <w:rFonts w:ascii="Times New Roman" w:eastAsia="Times New Roman" w:hAnsi="Times New Roman" w:cs="Times New Roman"/>
          <w:sz w:val="24"/>
          <w:szCs w:val="24"/>
        </w:rPr>
        <w:t xml:space="preserve"> Vertintojas taiko privalomas specialiųjų nacionalinių teisės aktų nuostatas, kurios skiriasi nuo </w:t>
      </w:r>
      <w:r w:rsidRPr="00425252">
        <w:rPr>
          <w:rFonts w:ascii="Times New Roman" w:eastAsia="Times New Roman" w:hAnsi="Times New Roman" w:cs="Times New Roman"/>
          <w:sz w:val="24"/>
          <w:szCs w:val="24"/>
        </w:rPr>
        <w:t>Standartų</w:t>
      </w:r>
      <w:r w:rsidR="00696477" w:rsidRPr="00425252">
        <w:rPr>
          <w:rFonts w:ascii="Times New Roman" w:eastAsia="Times New Roman" w:hAnsi="Times New Roman" w:cs="Times New Roman"/>
          <w:sz w:val="24"/>
          <w:szCs w:val="24"/>
        </w:rPr>
        <w:t>, laikoma, kad toks vertinimas yra atitinkantis TVS ir</w:t>
      </w:r>
      <w:r w:rsidR="002F1E03" w:rsidRPr="00425252">
        <w:rPr>
          <w:rFonts w:ascii="Times New Roman" w:eastAsia="Times New Roman" w:hAnsi="Times New Roman" w:cs="Times New Roman"/>
          <w:sz w:val="24"/>
          <w:szCs w:val="24"/>
        </w:rPr>
        <w:t xml:space="preserve"> (</w:t>
      </w:r>
      <w:r w:rsidR="00696477" w:rsidRPr="00425252">
        <w:rPr>
          <w:rFonts w:ascii="Times New Roman" w:eastAsia="Times New Roman" w:hAnsi="Times New Roman" w:cs="Times New Roman"/>
          <w:sz w:val="24"/>
          <w:szCs w:val="24"/>
        </w:rPr>
        <w:t>arba</w:t>
      </w:r>
      <w:r w:rsidR="002F1E03" w:rsidRPr="00425252">
        <w:rPr>
          <w:rFonts w:ascii="Times New Roman" w:eastAsia="Times New Roman" w:hAnsi="Times New Roman" w:cs="Times New Roman"/>
          <w:sz w:val="24"/>
          <w:szCs w:val="24"/>
        </w:rPr>
        <w:t>)</w:t>
      </w:r>
      <w:r w:rsidR="00696477" w:rsidRPr="00425252">
        <w:rPr>
          <w:rFonts w:ascii="Times New Roman" w:eastAsia="Times New Roman" w:hAnsi="Times New Roman" w:cs="Times New Roman"/>
          <w:sz w:val="24"/>
          <w:szCs w:val="24"/>
        </w:rPr>
        <w:t xml:space="preserve"> EVS, jei</w:t>
      </w:r>
      <w:r w:rsidR="006A4A51" w:rsidRPr="00425252">
        <w:rPr>
          <w:rFonts w:ascii="Times New Roman" w:eastAsia="Times New Roman" w:hAnsi="Times New Roman" w:cs="Times New Roman"/>
          <w:sz w:val="24"/>
          <w:szCs w:val="24"/>
        </w:rPr>
        <w:t>gu</w:t>
      </w:r>
      <w:r w:rsidR="00696477" w:rsidRPr="00425252">
        <w:rPr>
          <w:rFonts w:ascii="Times New Roman" w:eastAsia="Times New Roman" w:hAnsi="Times New Roman" w:cs="Times New Roman"/>
          <w:sz w:val="24"/>
          <w:szCs w:val="24"/>
        </w:rPr>
        <w:t xml:space="preserve"> aplinkybės apie tokių specialiųjų nacionalinių teisės aktų nuostatų įgyvendinimą yra nurodytos</w:t>
      </w:r>
      <w:r w:rsidR="00921802" w:rsidRPr="00425252">
        <w:rPr>
          <w:rFonts w:ascii="Times New Roman" w:eastAsia="Times New Roman" w:hAnsi="Times New Roman" w:cs="Times New Roman"/>
          <w:sz w:val="24"/>
          <w:szCs w:val="24"/>
        </w:rPr>
        <w:t xml:space="preserve"> turto arba </w:t>
      </w:r>
      <w:r w:rsidR="00551830" w:rsidRPr="00425252">
        <w:rPr>
          <w:rFonts w:ascii="Times New Roman" w:eastAsia="Times New Roman" w:hAnsi="Times New Roman" w:cs="Times New Roman"/>
          <w:sz w:val="24"/>
          <w:szCs w:val="24"/>
        </w:rPr>
        <w:t xml:space="preserve">verslo </w:t>
      </w:r>
      <w:r w:rsidR="00921802" w:rsidRPr="00425252">
        <w:rPr>
          <w:rFonts w:ascii="Times New Roman" w:eastAsia="Times New Roman" w:hAnsi="Times New Roman" w:cs="Times New Roman"/>
          <w:sz w:val="24"/>
          <w:szCs w:val="24"/>
        </w:rPr>
        <w:t>vertinimo ataskaitoje (toliau –</w:t>
      </w:r>
      <w:r w:rsidR="00696477" w:rsidRPr="00425252">
        <w:rPr>
          <w:rFonts w:ascii="Times New Roman" w:eastAsia="Times New Roman" w:hAnsi="Times New Roman" w:cs="Times New Roman"/>
          <w:sz w:val="24"/>
          <w:szCs w:val="24"/>
        </w:rPr>
        <w:t xml:space="preserve"> Ataskait</w:t>
      </w:r>
      <w:r w:rsidR="00F001B7" w:rsidRPr="00425252">
        <w:rPr>
          <w:rFonts w:ascii="Times New Roman" w:eastAsia="Times New Roman" w:hAnsi="Times New Roman" w:cs="Times New Roman"/>
          <w:sz w:val="24"/>
          <w:szCs w:val="24"/>
        </w:rPr>
        <w:t>a</w:t>
      </w:r>
      <w:r w:rsidR="00921802" w:rsidRPr="00425252">
        <w:rPr>
          <w:rFonts w:ascii="Times New Roman" w:eastAsia="Times New Roman" w:hAnsi="Times New Roman" w:cs="Times New Roman"/>
          <w:sz w:val="24"/>
          <w:szCs w:val="24"/>
        </w:rPr>
        <w:t>)</w:t>
      </w:r>
      <w:r w:rsidR="00696477" w:rsidRPr="00425252">
        <w:rPr>
          <w:rFonts w:ascii="Times New Roman" w:eastAsia="Times New Roman" w:hAnsi="Times New Roman" w:cs="Times New Roman"/>
          <w:sz w:val="24"/>
          <w:szCs w:val="24"/>
        </w:rPr>
        <w:t>.</w:t>
      </w:r>
    </w:p>
    <w:p w14:paraId="097F2C9A" w14:textId="24B0507E" w:rsidR="00776D74" w:rsidRPr="00425252" w:rsidRDefault="00696477" w:rsidP="00D6181F">
      <w:pPr>
        <w:widowControl w:val="0"/>
        <w:suppressAutoHyphens/>
        <w:spacing w:after="0"/>
        <w:ind w:firstLine="709"/>
        <w:jc w:val="both"/>
      </w:pPr>
      <w:r w:rsidRPr="00425252">
        <w:rPr>
          <w:rFonts w:ascii="Times New Roman" w:eastAsia="Calibri" w:hAnsi="Times New Roman" w:cs="Times New Roman"/>
          <w:sz w:val="24"/>
          <w:szCs w:val="24"/>
        </w:rPr>
        <w:t>Rengiant Ataskaitas gali pasitaikyti atvejų, kai keliuose šaltiniuose pateikiamos skirtingos tų pačių dalykų sąvokos. Ne visos sąvokos turi tapačius, nacionaliniuose ir tarptautiniuose teisės aktuose taikomus</w:t>
      </w:r>
      <w:r w:rsidR="0040086B" w:rsidRPr="00425252">
        <w:rPr>
          <w:rFonts w:ascii="Times New Roman" w:eastAsia="Calibri" w:hAnsi="Times New Roman" w:cs="Times New Roman"/>
          <w:sz w:val="24"/>
          <w:szCs w:val="24"/>
        </w:rPr>
        <w:t>,</w:t>
      </w:r>
      <w:r w:rsidRPr="00425252">
        <w:rPr>
          <w:rFonts w:ascii="Times New Roman" w:eastAsia="Calibri" w:hAnsi="Times New Roman" w:cs="Times New Roman"/>
          <w:sz w:val="24"/>
          <w:szCs w:val="24"/>
        </w:rPr>
        <w:t xml:space="preserve"> apibrėžimus. </w:t>
      </w:r>
      <w:r w:rsidR="00226FE1" w:rsidRPr="00425252">
        <w:rPr>
          <w:rFonts w:ascii="Times New Roman" w:eastAsia="Calibri" w:hAnsi="Times New Roman" w:cs="Times New Roman"/>
          <w:sz w:val="24"/>
          <w:szCs w:val="24"/>
        </w:rPr>
        <w:t>Pavyzd</w:t>
      </w:r>
      <w:r w:rsidR="005219A3" w:rsidRPr="00425252">
        <w:rPr>
          <w:rFonts w:ascii="Times New Roman" w:eastAsia="Calibri" w:hAnsi="Times New Roman" w:cs="Times New Roman"/>
          <w:sz w:val="24"/>
          <w:szCs w:val="24"/>
        </w:rPr>
        <w:t>žiui,</w:t>
      </w:r>
      <w:r w:rsidR="00226FE1" w:rsidRPr="00425252">
        <w:rPr>
          <w:rFonts w:ascii="Times New Roman" w:eastAsia="Calibri" w:hAnsi="Times New Roman" w:cs="Times New Roman"/>
          <w:sz w:val="24"/>
          <w:szCs w:val="24"/>
        </w:rPr>
        <w:t xml:space="preserve"> Įstatymo 6 str. 2 </w:t>
      </w:r>
      <w:r w:rsidR="00923E55" w:rsidRPr="00425252">
        <w:rPr>
          <w:rFonts w:ascii="Times New Roman" w:eastAsia="Calibri" w:hAnsi="Times New Roman" w:cs="Times New Roman"/>
          <w:sz w:val="24"/>
          <w:szCs w:val="24"/>
        </w:rPr>
        <w:t>d.</w:t>
      </w:r>
      <w:r w:rsidR="00226FE1" w:rsidRPr="00425252">
        <w:rPr>
          <w:rFonts w:ascii="Times New Roman" w:eastAsia="Calibri" w:hAnsi="Times New Roman" w:cs="Times New Roman"/>
          <w:sz w:val="24"/>
          <w:szCs w:val="24"/>
        </w:rPr>
        <w:t xml:space="preserve"> nurodoma, kad „</w:t>
      </w:r>
      <w:r w:rsidR="007D793C" w:rsidRPr="00425252">
        <w:rPr>
          <w:rFonts w:ascii="Times New Roman" w:eastAsia="Calibri" w:hAnsi="Times New Roman" w:cs="Times New Roman"/>
          <w:sz w:val="24"/>
          <w:szCs w:val="24"/>
        </w:rPr>
        <w:t>&lt;</w:t>
      </w:r>
      <w:r w:rsidR="00226FE1" w:rsidRPr="00425252">
        <w:rPr>
          <w:rFonts w:ascii="Times New Roman" w:eastAsia="Calibri" w:hAnsi="Times New Roman" w:cs="Times New Roman"/>
          <w:sz w:val="24"/>
          <w:szCs w:val="24"/>
        </w:rPr>
        <w:t>...</w:t>
      </w:r>
      <w:r w:rsidR="007D793C" w:rsidRPr="00425252">
        <w:rPr>
          <w:rFonts w:ascii="Times New Roman" w:eastAsia="Calibri" w:hAnsi="Times New Roman" w:cs="Times New Roman"/>
          <w:sz w:val="24"/>
          <w:szCs w:val="24"/>
        </w:rPr>
        <w:t>&gt;</w:t>
      </w:r>
      <w:r w:rsidR="0026462C" w:rsidRPr="00425252">
        <w:rPr>
          <w:rFonts w:ascii="Times New Roman" w:eastAsia="Calibri" w:hAnsi="Times New Roman" w:cs="Times New Roman"/>
          <w:sz w:val="24"/>
          <w:szCs w:val="24"/>
        </w:rPr>
        <w:t xml:space="preserve"> </w:t>
      </w:r>
      <w:r w:rsidR="00226FE1" w:rsidRPr="00425252">
        <w:rPr>
          <w:rFonts w:ascii="Times New Roman" w:eastAsia="Calibri" w:hAnsi="Times New Roman" w:cs="Times New Roman"/>
          <w:iCs/>
          <w:sz w:val="24"/>
          <w:szCs w:val="24"/>
        </w:rPr>
        <w:t>metodų</w:t>
      </w:r>
      <w:r w:rsidR="00226FE1" w:rsidRPr="00425252">
        <w:rPr>
          <w:rFonts w:ascii="Times New Roman" w:eastAsia="Calibri" w:hAnsi="Times New Roman" w:cs="Times New Roman"/>
          <w:sz w:val="24"/>
          <w:szCs w:val="24"/>
        </w:rPr>
        <w:t xml:space="preserve"> </w:t>
      </w:r>
      <w:r w:rsidR="0026462C" w:rsidRPr="00425252">
        <w:rPr>
          <w:rFonts w:ascii="Times New Roman" w:eastAsia="Calibri" w:hAnsi="Times New Roman" w:cs="Times New Roman"/>
          <w:sz w:val="24"/>
          <w:szCs w:val="24"/>
        </w:rPr>
        <w:t>&lt;</w:t>
      </w:r>
      <w:r w:rsidR="00226FE1" w:rsidRPr="00425252">
        <w:rPr>
          <w:rFonts w:ascii="Times New Roman" w:eastAsia="Calibri" w:hAnsi="Times New Roman" w:cs="Times New Roman"/>
          <w:sz w:val="24"/>
          <w:szCs w:val="24"/>
        </w:rPr>
        <w:t>...</w:t>
      </w:r>
      <w:r w:rsidR="001F4408" w:rsidRPr="00425252">
        <w:rPr>
          <w:rFonts w:ascii="Times New Roman" w:eastAsia="Calibri" w:hAnsi="Times New Roman" w:cs="Times New Roman"/>
          <w:sz w:val="24"/>
          <w:szCs w:val="24"/>
        </w:rPr>
        <w:t>&gt;</w:t>
      </w:r>
      <w:r w:rsidR="00226FE1" w:rsidRPr="00425252">
        <w:rPr>
          <w:rFonts w:ascii="Times New Roman" w:eastAsia="Calibri" w:hAnsi="Times New Roman" w:cs="Times New Roman"/>
          <w:sz w:val="24"/>
          <w:szCs w:val="24"/>
        </w:rPr>
        <w:t xml:space="preserve"> taikymo Lietuvos Respublikoje procedūros ir tvarka išsamiai nurodytos Turto ir verslo vertinimo metodikoje“. Metodikos IV skyriuje</w:t>
      </w:r>
      <w:r w:rsidR="00214FEC" w:rsidRPr="00425252">
        <w:rPr>
          <w:rFonts w:ascii="Times New Roman" w:eastAsia="Calibri" w:hAnsi="Times New Roman" w:cs="Times New Roman"/>
          <w:sz w:val="24"/>
          <w:szCs w:val="24"/>
        </w:rPr>
        <w:t xml:space="preserve"> „Turto ve</w:t>
      </w:r>
      <w:r w:rsidR="002D61A9" w:rsidRPr="00425252">
        <w:rPr>
          <w:rFonts w:ascii="Times New Roman" w:eastAsia="Calibri" w:hAnsi="Times New Roman" w:cs="Times New Roman"/>
          <w:sz w:val="24"/>
          <w:szCs w:val="24"/>
        </w:rPr>
        <w:t>rtinimo metodai ir jų taikymas“</w:t>
      </w:r>
      <w:r w:rsidR="00226FE1" w:rsidRPr="00425252">
        <w:rPr>
          <w:rFonts w:ascii="Times New Roman" w:eastAsia="Calibri" w:hAnsi="Times New Roman" w:cs="Times New Roman"/>
          <w:sz w:val="24"/>
          <w:szCs w:val="24"/>
        </w:rPr>
        <w:t xml:space="preserve"> pateikti </w:t>
      </w:r>
      <w:r w:rsidR="00226FE1" w:rsidRPr="00425252">
        <w:rPr>
          <w:rFonts w:ascii="Times New Roman" w:eastAsia="Calibri" w:hAnsi="Times New Roman" w:cs="Times New Roman"/>
          <w:i/>
          <w:sz w:val="24"/>
          <w:szCs w:val="24"/>
        </w:rPr>
        <w:t xml:space="preserve">turto </w:t>
      </w:r>
      <w:r w:rsidR="00776D74" w:rsidRPr="00425252">
        <w:rPr>
          <w:rFonts w:ascii="Times New Roman" w:eastAsia="Calibri" w:hAnsi="Times New Roman" w:cs="Times New Roman"/>
          <w:i/>
          <w:sz w:val="24"/>
          <w:szCs w:val="24"/>
        </w:rPr>
        <w:t>vertinimo metodai</w:t>
      </w:r>
      <w:r w:rsidR="00776D74" w:rsidRPr="00425252">
        <w:rPr>
          <w:rFonts w:ascii="Times New Roman" w:eastAsia="Calibri" w:hAnsi="Times New Roman" w:cs="Times New Roman"/>
          <w:sz w:val="24"/>
          <w:szCs w:val="24"/>
        </w:rPr>
        <w:t xml:space="preserve"> ir </w:t>
      </w:r>
      <w:r w:rsidR="00776D74" w:rsidRPr="00425252">
        <w:rPr>
          <w:rFonts w:ascii="Times New Roman" w:eastAsia="Calibri" w:hAnsi="Times New Roman" w:cs="Times New Roman"/>
          <w:i/>
          <w:sz w:val="24"/>
          <w:szCs w:val="24"/>
        </w:rPr>
        <w:t>skaičiavimo būdai</w:t>
      </w:r>
      <w:r w:rsidR="00776D74" w:rsidRPr="00425252">
        <w:rPr>
          <w:rFonts w:ascii="Times New Roman" w:eastAsia="Calibri" w:hAnsi="Times New Roman" w:cs="Times New Roman"/>
          <w:sz w:val="24"/>
          <w:szCs w:val="24"/>
        </w:rPr>
        <w:t>.</w:t>
      </w:r>
      <w:r w:rsidR="00226FE1" w:rsidRPr="00425252">
        <w:t xml:space="preserve"> </w:t>
      </w:r>
      <w:r w:rsidR="004B4450" w:rsidRPr="00425252">
        <w:rPr>
          <w:rFonts w:ascii="Times New Roman" w:hAnsi="Times New Roman" w:cs="Times New Roman"/>
          <w:sz w:val="24"/>
          <w:szCs w:val="24"/>
        </w:rPr>
        <w:t>O</w:t>
      </w:r>
      <w:r w:rsidR="00776D74" w:rsidRPr="00425252">
        <w:rPr>
          <w:rFonts w:ascii="Times New Roman" w:hAnsi="Times New Roman" w:cs="Times New Roman"/>
          <w:sz w:val="24"/>
          <w:szCs w:val="24"/>
        </w:rPr>
        <w:t xml:space="preserve"> </w:t>
      </w:r>
      <w:r w:rsidR="002D1E91" w:rsidRPr="00425252">
        <w:rPr>
          <w:rFonts w:ascii="Times New Roman" w:hAnsi="Times New Roman" w:cs="Times New Roman"/>
          <w:sz w:val="24"/>
          <w:szCs w:val="24"/>
        </w:rPr>
        <w:t>TVS t</w:t>
      </w:r>
      <w:r w:rsidR="00357403" w:rsidRPr="00425252">
        <w:rPr>
          <w:rFonts w:ascii="Times New Roman" w:hAnsi="Times New Roman" w:cs="Times New Roman"/>
          <w:sz w:val="24"/>
          <w:szCs w:val="24"/>
        </w:rPr>
        <w:t>ų</w:t>
      </w:r>
      <w:r w:rsidR="002D1E91" w:rsidRPr="00425252">
        <w:rPr>
          <w:rFonts w:ascii="Times New Roman" w:hAnsi="Times New Roman" w:cs="Times New Roman"/>
          <w:sz w:val="24"/>
          <w:szCs w:val="24"/>
        </w:rPr>
        <w:t xml:space="preserve"> pa</w:t>
      </w:r>
      <w:r w:rsidR="00357403" w:rsidRPr="00425252">
        <w:rPr>
          <w:rFonts w:ascii="Times New Roman" w:hAnsi="Times New Roman" w:cs="Times New Roman"/>
          <w:sz w:val="24"/>
          <w:szCs w:val="24"/>
        </w:rPr>
        <w:t>čių</w:t>
      </w:r>
      <w:r w:rsidR="002D1E91" w:rsidRPr="00425252">
        <w:rPr>
          <w:rFonts w:ascii="Times New Roman" w:hAnsi="Times New Roman" w:cs="Times New Roman"/>
          <w:sz w:val="24"/>
          <w:szCs w:val="24"/>
        </w:rPr>
        <w:t xml:space="preserve"> </w:t>
      </w:r>
      <w:r w:rsidR="00BA53CA" w:rsidRPr="00425252">
        <w:rPr>
          <w:rFonts w:ascii="Times New Roman" w:hAnsi="Times New Roman" w:cs="Times New Roman"/>
          <w:sz w:val="24"/>
          <w:szCs w:val="24"/>
        </w:rPr>
        <w:t>dalyk</w:t>
      </w:r>
      <w:r w:rsidR="00357403" w:rsidRPr="00425252">
        <w:rPr>
          <w:rFonts w:ascii="Times New Roman" w:hAnsi="Times New Roman" w:cs="Times New Roman"/>
          <w:sz w:val="24"/>
          <w:szCs w:val="24"/>
        </w:rPr>
        <w:t>ų</w:t>
      </w:r>
      <w:r w:rsidR="002D1E91" w:rsidRPr="00425252">
        <w:rPr>
          <w:rFonts w:ascii="Times New Roman" w:hAnsi="Times New Roman" w:cs="Times New Roman"/>
          <w:sz w:val="24"/>
          <w:szCs w:val="24"/>
        </w:rPr>
        <w:t xml:space="preserve"> </w:t>
      </w:r>
      <w:r w:rsidR="00243432" w:rsidRPr="00425252">
        <w:rPr>
          <w:rFonts w:ascii="Times New Roman" w:hAnsi="Times New Roman" w:cs="Times New Roman"/>
          <w:sz w:val="24"/>
          <w:szCs w:val="24"/>
        </w:rPr>
        <w:t>sąvok</w:t>
      </w:r>
      <w:r w:rsidR="008134B6" w:rsidRPr="00425252">
        <w:rPr>
          <w:rFonts w:ascii="Times New Roman" w:hAnsi="Times New Roman" w:cs="Times New Roman"/>
          <w:sz w:val="24"/>
          <w:szCs w:val="24"/>
        </w:rPr>
        <w:t>o</w:t>
      </w:r>
      <w:r w:rsidR="00243432" w:rsidRPr="00425252">
        <w:rPr>
          <w:rFonts w:ascii="Times New Roman" w:hAnsi="Times New Roman" w:cs="Times New Roman"/>
          <w:sz w:val="24"/>
          <w:szCs w:val="24"/>
        </w:rPr>
        <w:t>s</w:t>
      </w:r>
      <w:r w:rsidR="00357403" w:rsidRPr="00425252">
        <w:rPr>
          <w:rFonts w:ascii="Times New Roman" w:hAnsi="Times New Roman" w:cs="Times New Roman"/>
          <w:sz w:val="24"/>
          <w:szCs w:val="24"/>
        </w:rPr>
        <w:t xml:space="preserve"> </w:t>
      </w:r>
      <w:r w:rsidR="00C01922" w:rsidRPr="00425252">
        <w:rPr>
          <w:rFonts w:ascii="Times New Roman" w:hAnsi="Times New Roman" w:cs="Times New Roman"/>
          <w:sz w:val="24"/>
          <w:szCs w:val="24"/>
        </w:rPr>
        <w:t>yra</w:t>
      </w:r>
      <w:r w:rsidR="00243432" w:rsidRPr="00425252">
        <w:rPr>
          <w:rFonts w:ascii="Times New Roman" w:hAnsi="Times New Roman" w:cs="Times New Roman"/>
          <w:sz w:val="24"/>
          <w:szCs w:val="24"/>
        </w:rPr>
        <w:t xml:space="preserve"> </w:t>
      </w:r>
      <w:r w:rsidR="00243432" w:rsidRPr="00425252">
        <w:rPr>
          <w:rFonts w:ascii="Times New Roman" w:hAnsi="Times New Roman" w:cs="Times New Roman"/>
          <w:i/>
          <w:sz w:val="24"/>
          <w:szCs w:val="24"/>
        </w:rPr>
        <w:t>vertinimo požiūris ir metodas</w:t>
      </w:r>
      <w:r w:rsidR="00243432" w:rsidRPr="00425252">
        <w:rPr>
          <w:rFonts w:ascii="Times New Roman" w:hAnsi="Times New Roman" w:cs="Times New Roman"/>
          <w:sz w:val="24"/>
          <w:szCs w:val="24"/>
        </w:rPr>
        <w:t xml:space="preserve"> (</w:t>
      </w:r>
      <w:r w:rsidR="002D1E91" w:rsidRPr="00425252">
        <w:rPr>
          <w:rFonts w:ascii="Times New Roman" w:hAnsi="Times New Roman" w:cs="Times New Roman"/>
          <w:sz w:val="24"/>
          <w:szCs w:val="24"/>
        </w:rPr>
        <w:t>105-</w:t>
      </w:r>
      <w:r w:rsidR="004F2BE4" w:rsidRPr="00425252">
        <w:rPr>
          <w:rFonts w:ascii="Times New Roman" w:hAnsi="Times New Roman" w:cs="Times New Roman"/>
          <w:sz w:val="24"/>
          <w:szCs w:val="24"/>
        </w:rPr>
        <w:t>a</w:t>
      </w:r>
      <w:r w:rsidR="00243432" w:rsidRPr="00425252">
        <w:rPr>
          <w:rFonts w:ascii="Times New Roman" w:hAnsi="Times New Roman" w:cs="Times New Roman"/>
          <w:sz w:val="24"/>
          <w:szCs w:val="24"/>
        </w:rPr>
        <w:t>sis</w:t>
      </w:r>
      <w:r w:rsidR="002D1E91" w:rsidRPr="00425252">
        <w:rPr>
          <w:rFonts w:ascii="Times New Roman" w:hAnsi="Times New Roman" w:cs="Times New Roman"/>
          <w:sz w:val="24"/>
          <w:szCs w:val="24"/>
        </w:rPr>
        <w:t xml:space="preserve"> TVS</w:t>
      </w:r>
      <w:r w:rsidR="004F2BE4" w:rsidRPr="00425252">
        <w:rPr>
          <w:rFonts w:ascii="Times New Roman" w:hAnsi="Times New Roman" w:cs="Times New Roman"/>
          <w:sz w:val="24"/>
          <w:szCs w:val="24"/>
        </w:rPr>
        <w:t xml:space="preserve"> „Vertinimo požiūriai ir metodai“</w:t>
      </w:r>
      <w:r w:rsidR="00243432" w:rsidRPr="00425252">
        <w:rPr>
          <w:rFonts w:ascii="Times New Roman" w:hAnsi="Times New Roman" w:cs="Times New Roman"/>
          <w:sz w:val="24"/>
          <w:szCs w:val="24"/>
        </w:rPr>
        <w:t xml:space="preserve">). Vertintojas Ataskaitoje privalo </w:t>
      </w:r>
      <w:r w:rsidR="00E94698" w:rsidRPr="00425252">
        <w:rPr>
          <w:rFonts w:ascii="Times New Roman" w:hAnsi="Times New Roman" w:cs="Times New Roman"/>
          <w:sz w:val="24"/>
          <w:szCs w:val="24"/>
        </w:rPr>
        <w:t xml:space="preserve">vartoti </w:t>
      </w:r>
      <w:r w:rsidR="00243432" w:rsidRPr="00425252">
        <w:rPr>
          <w:rFonts w:ascii="Times New Roman" w:hAnsi="Times New Roman" w:cs="Times New Roman"/>
          <w:sz w:val="24"/>
          <w:szCs w:val="24"/>
        </w:rPr>
        <w:t xml:space="preserve">LR teisės aktuose </w:t>
      </w:r>
      <w:r w:rsidR="00E94698" w:rsidRPr="00425252">
        <w:rPr>
          <w:rFonts w:ascii="Times New Roman" w:hAnsi="Times New Roman" w:cs="Times New Roman"/>
          <w:sz w:val="24"/>
          <w:szCs w:val="24"/>
        </w:rPr>
        <w:t xml:space="preserve">vartojamas </w:t>
      </w:r>
      <w:r w:rsidR="00243432" w:rsidRPr="00425252">
        <w:rPr>
          <w:rFonts w:ascii="Times New Roman" w:hAnsi="Times New Roman" w:cs="Times New Roman"/>
          <w:sz w:val="24"/>
          <w:szCs w:val="24"/>
        </w:rPr>
        <w:t>sąvokas, išskyrus, kai cituojami tarptautiniai dokumentai.</w:t>
      </w:r>
    </w:p>
    <w:p w14:paraId="52A90BB7" w14:textId="35F8306B" w:rsidR="00696477" w:rsidRPr="00425252" w:rsidRDefault="00696477" w:rsidP="00696477">
      <w:pPr>
        <w:spacing w:after="0" w:line="264" w:lineRule="auto"/>
        <w:ind w:firstLine="720"/>
        <w:jc w:val="both"/>
        <w:rPr>
          <w:rFonts w:ascii="Times New Roman" w:hAnsi="Times New Roman" w:cs="Times New Roman"/>
          <w:sz w:val="24"/>
          <w:szCs w:val="24"/>
        </w:rPr>
      </w:pPr>
      <w:r w:rsidRPr="00425252">
        <w:rPr>
          <w:rFonts w:ascii="Times New Roman" w:hAnsi="Times New Roman" w:cs="Times New Roman"/>
          <w:sz w:val="24"/>
          <w:szCs w:val="24"/>
        </w:rPr>
        <w:t>Vertintoja</w:t>
      </w:r>
      <w:r w:rsidR="00B7266B" w:rsidRPr="00425252">
        <w:rPr>
          <w:rFonts w:ascii="Times New Roman" w:hAnsi="Times New Roman" w:cs="Times New Roman"/>
          <w:sz w:val="24"/>
          <w:szCs w:val="24"/>
        </w:rPr>
        <w:t>s</w:t>
      </w:r>
      <w:r w:rsidRPr="00425252">
        <w:rPr>
          <w:rFonts w:ascii="Times New Roman" w:hAnsi="Times New Roman" w:cs="Times New Roman"/>
          <w:sz w:val="24"/>
          <w:szCs w:val="24"/>
        </w:rPr>
        <w:t>, atlikdam</w:t>
      </w:r>
      <w:r w:rsidR="008D59E4" w:rsidRPr="00425252">
        <w:rPr>
          <w:rFonts w:ascii="Times New Roman" w:hAnsi="Times New Roman" w:cs="Times New Roman"/>
          <w:sz w:val="24"/>
          <w:szCs w:val="24"/>
        </w:rPr>
        <w:t>as</w:t>
      </w:r>
      <w:r w:rsidRPr="00425252">
        <w:rPr>
          <w:rFonts w:ascii="Times New Roman" w:hAnsi="Times New Roman" w:cs="Times New Roman"/>
          <w:sz w:val="24"/>
          <w:szCs w:val="24"/>
        </w:rPr>
        <w:t xml:space="preserve"> vertinimą, taiko TVS, EVS ir nacionalinėje teisėje nurodytus turto vertinimo metodus </w:t>
      </w:r>
      <w:r w:rsidR="002A6AFA" w:rsidRPr="00425252">
        <w:rPr>
          <w:rFonts w:ascii="Times New Roman" w:hAnsi="Times New Roman" w:cs="Times New Roman"/>
          <w:sz w:val="24"/>
          <w:szCs w:val="24"/>
        </w:rPr>
        <w:t>ir būdus</w:t>
      </w:r>
      <w:r w:rsidRPr="00425252">
        <w:rPr>
          <w:rFonts w:ascii="Times New Roman" w:hAnsi="Times New Roman" w:cs="Times New Roman"/>
          <w:sz w:val="24"/>
          <w:szCs w:val="24"/>
        </w:rPr>
        <w:t xml:space="preserve"> </w:t>
      </w:r>
      <w:r w:rsidR="004A3393" w:rsidRPr="00425252">
        <w:rPr>
          <w:rFonts w:ascii="Times New Roman" w:hAnsi="Times New Roman" w:cs="Times New Roman"/>
          <w:sz w:val="24"/>
          <w:szCs w:val="24"/>
        </w:rPr>
        <w:t xml:space="preserve">ir </w:t>
      </w:r>
      <w:r w:rsidRPr="00425252">
        <w:rPr>
          <w:rFonts w:ascii="Times New Roman" w:hAnsi="Times New Roman" w:cs="Times New Roman"/>
          <w:sz w:val="24"/>
          <w:szCs w:val="24"/>
        </w:rPr>
        <w:t>vadovaujasi min</w:t>
      </w:r>
      <w:r w:rsidR="007E41FD" w:rsidRPr="00425252">
        <w:rPr>
          <w:rFonts w:ascii="Times New Roman" w:hAnsi="Times New Roman" w:cs="Times New Roman"/>
          <w:sz w:val="24"/>
          <w:szCs w:val="24"/>
        </w:rPr>
        <w:t>ėt</w:t>
      </w:r>
      <w:r w:rsidRPr="00425252">
        <w:rPr>
          <w:rFonts w:ascii="Times New Roman" w:hAnsi="Times New Roman" w:cs="Times New Roman"/>
          <w:sz w:val="24"/>
          <w:szCs w:val="24"/>
        </w:rPr>
        <w:t xml:space="preserve">uose dokumentuose aprašytomis vertinimo procedūromis </w:t>
      </w:r>
      <w:r w:rsidR="00CD36B8" w:rsidRPr="00425252">
        <w:rPr>
          <w:rFonts w:ascii="Times New Roman" w:hAnsi="Times New Roman" w:cs="Times New Roman"/>
          <w:sz w:val="24"/>
          <w:szCs w:val="24"/>
        </w:rPr>
        <w:t xml:space="preserve">ir </w:t>
      </w:r>
      <w:r w:rsidRPr="00425252">
        <w:rPr>
          <w:rFonts w:ascii="Times New Roman" w:hAnsi="Times New Roman" w:cs="Times New Roman"/>
          <w:sz w:val="24"/>
          <w:szCs w:val="24"/>
        </w:rPr>
        <w:t xml:space="preserve">tvarka. </w:t>
      </w:r>
      <w:r w:rsidR="008D59E4" w:rsidRPr="00425252">
        <w:rPr>
          <w:rFonts w:ascii="Times New Roman" w:hAnsi="Times New Roman" w:cs="Times New Roman"/>
          <w:sz w:val="24"/>
          <w:szCs w:val="24"/>
          <w:shd w:val="clear" w:color="auto" w:fill="FFFFFF"/>
        </w:rPr>
        <w:t>V</w:t>
      </w:r>
      <w:r w:rsidRPr="00425252">
        <w:rPr>
          <w:rFonts w:ascii="Times New Roman" w:hAnsi="Times New Roman" w:cs="Times New Roman"/>
          <w:sz w:val="24"/>
          <w:szCs w:val="24"/>
          <w:shd w:val="clear" w:color="auto" w:fill="FFFFFF"/>
        </w:rPr>
        <w:t xml:space="preserve">ertinimas atliekamas ne tik vadovaujantis teisės aktais, bet ir atsižvelgiant į rinkos </w:t>
      </w:r>
      <w:r w:rsidR="00F96B38" w:rsidRPr="00425252">
        <w:rPr>
          <w:rFonts w:ascii="Times New Roman" w:hAnsi="Times New Roman" w:cs="Times New Roman"/>
          <w:sz w:val="24"/>
          <w:szCs w:val="24"/>
          <w:shd w:val="clear" w:color="auto" w:fill="FFFFFF"/>
        </w:rPr>
        <w:t xml:space="preserve">ir </w:t>
      </w:r>
      <w:r w:rsidRPr="00425252">
        <w:rPr>
          <w:rFonts w:ascii="Times New Roman" w:hAnsi="Times New Roman" w:cs="Times New Roman"/>
          <w:sz w:val="24"/>
          <w:szCs w:val="24"/>
          <w:shd w:val="clear" w:color="auto" w:fill="FFFFFF"/>
        </w:rPr>
        <w:t xml:space="preserve">ekonomikos sąlygų stebėjimų, tyrimų išvadas ir rezultatus. </w:t>
      </w:r>
      <w:r w:rsidR="00264466" w:rsidRPr="00425252">
        <w:rPr>
          <w:rFonts w:ascii="Times New Roman" w:hAnsi="Times New Roman" w:cs="Times New Roman"/>
          <w:sz w:val="24"/>
          <w:szCs w:val="24"/>
          <w:shd w:val="clear" w:color="auto" w:fill="FFFFFF"/>
        </w:rPr>
        <w:t>V</w:t>
      </w:r>
      <w:r w:rsidRPr="00425252">
        <w:rPr>
          <w:rFonts w:ascii="Times New Roman" w:hAnsi="Times New Roman" w:cs="Times New Roman"/>
          <w:sz w:val="24"/>
          <w:szCs w:val="24"/>
          <w:shd w:val="clear" w:color="auto" w:fill="FFFFFF"/>
        </w:rPr>
        <w:t>ertinimui atlikti reikalingos specialios kompleksinės žinios, daugiausia susijusios su ekonomikos, finansų sritimis.</w:t>
      </w:r>
      <w:r w:rsidRPr="00425252">
        <w:rPr>
          <w:rFonts w:ascii="Times New Roman" w:hAnsi="Times New Roman" w:cs="Times New Roman"/>
          <w:sz w:val="24"/>
          <w:szCs w:val="24"/>
        </w:rPr>
        <w:t xml:space="preserve"> Taigi, įvertinus TVS ir EVS turinį, atsižvelgiant į šių dokumentų galią </w:t>
      </w:r>
      <w:r w:rsidR="00F96B38" w:rsidRPr="00425252">
        <w:rPr>
          <w:rFonts w:ascii="Times New Roman" w:hAnsi="Times New Roman" w:cs="Times New Roman"/>
          <w:sz w:val="24"/>
          <w:szCs w:val="24"/>
        </w:rPr>
        <w:t xml:space="preserve">ir </w:t>
      </w:r>
      <w:r w:rsidRPr="00425252">
        <w:rPr>
          <w:rFonts w:ascii="Times New Roman" w:hAnsi="Times New Roman" w:cs="Times New Roman"/>
          <w:sz w:val="24"/>
          <w:szCs w:val="24"/>
        </w:rPr>
        <w:t xml:space="preserve">santykį su nacionaliniais teisės aktais, konstatuotina, kad juose įtvirtintos nuostatos koreliuoja tarpusavyje ir vertinimo metodų taikymo procedūrų aspektu vienos kitą papildo. </w:t>
      </w:r>
    </w:p>
    <w:p w14:paraId="52A90BB8" w14:textId="4A70C71E" w:rsidR="00696477" w:rsidRPr="00425252" w:rsidRDefault="00696477" w:rsidP="00EA6449">
      <w:pPr>
        <w:pStyle w:val="Default"/>
        <w:ind w:firstLine="720"/>
        <w:jc w:val="both"/>
        <w:rPr>
          <w:rFonts w:ascii="Arial" w:hAnsi="Arial" w:cs="Arial"/>
          <w:color w:val="auto"/>
        </w:rPr>
      </w:pPr>
      <w:r w:rsidRPr="00425252">
        <w:rPr>
          <w:rFonts w:ascii="Times New Roman" w:eastAsia="Times New Roman" w:hAnsi="Times New Roman" w:cs="Times New Roman"/>
          <w:color w:val="auto"/>
        </w:rPr>
        <w:t xml:space="preserve">TVS konstatuojama, kad leidžiama nukrypti nuo </w:t>
      </w:r>
      <w:r w:rsidR="000E471E" w:rsidRPr="00425252">
        <w:rPr>
          <w:rFonts w:ascii="Times New Roman" w:eastAsia="Times New Roman" w:hAnsi="Times New Roman" w:cs="Times New Roman"/>
          <w:color w:val="auto"/>
        </w:rPr>
        <w:t xml:space="preserve">Standartų </w:t>
      </w:r>
      <w:r w:rsidRPr="00425252">
        <w:rPr>
          <w:rFonts w:ascii="Times New Roman" w:eastAsia="Times New Roman" w:hAnsi="Times New Roman" w:cs="Times New Roman"/>
          <w:color w:val="auto"/>
        </w:rPr>
        <w:t xml:space="preserve">tiek, kiek reikia, kad būtų įvykdyti nacionaliniai teisės ir reguliavimo reikalavimai, prieštaraujantys </w:t>
      </w:r>
      <w:r w:rsidR="008446F0" w:rsidRPr="00425252">
        <w:rPr>
          <w:rFonts w:ascii="Times New Roman" w:eastAsia="Times New Roman" w:hAnsi="Times New Roman" w:cs="Times New Roman"/>
          <w:color w:val="auto"/>
        </w:rPr>
        <w:t xml:space="preserve">Standartų </w:t>
      </w:r>
      <w:r w:rsidRPr="00425252">
        <w:rPr>
          <w:rFonts w:ascii="Times New Roman" w:eastAsia="Times New Roman" w:hAnsi="Times New Roman" w:cs="Times New Roman"/>
          <w:color w:val="auto"/>
        </w:rPr>
        <w:t>nuostatoms.</w:t>
      </w:r>
      <w:r w:rsidRPr="00425252">
        <w:rPr>
          <w:color w:val="auto"/>
          <w:sz w:val="18"/>
          <w:szCs w:val="18"/>
        </w:rPr>
        <w:t xml:space="preserve"> </w:t>
      </w:r>
      <w:r w:rsidRPr="00425252">
        <w:rPr>
          <w:rFonts w:ascii="Times New Roman" w:eastAsia="Times New Roman" w:hAnsi="Times New Roman" w:cs="Times New Roman"/>
          <w:color w:val="auto"/>
        </w:rPr>
        <w:t xml:space="preserve">TVS reglamentuoja nuokrypius nuo TVS. Nuokrypiu laikoma </w:t>
      </w:r>
      <w:r w:rsidRPr="00425252">
        <w:rPr>
          <w:rFonts w:ascii="Times New Roman" w:hAnsi="Times New Roman" w:cs="Times New Roman"/>
          <w:color w:val="auto"/>
        </w:rPr>
        <w:t>aplinkybė, kai privaloma laikytis konkrečių teisinių, norminių ar kitų reikalavimų, kurie skiriasi nuo kai kurių TVS reikalavimų. Nuokrypiai yra neišvengiami, nes vertintojas privalo laikytis įstatymų, norminių ir kitų reikalavimų, atitinkančių vertinimo tikslą ir jurisdikciją. TVS pripažįsta, kad nuokrypiai yra neišvengiami ir teisiniai, norminiai ar kiti reikalavimai turi pirmenybę prieš TVS reikalavimus. Nepaisant to, toks vertinimas laikomas atliktu laikantis TVS</w:t>
      </w:r>
      <w:r w:rsidR="00F217F7" w:rsidRPr="00425252">
        <w:rPr>
          <w:rFonts w:ascii="Times New Roman" w:hAnsi="Times New Roman" w:cs="Times New Roman"/>
          <w:color w:val="auto"/>
        </w:rPr>
        <w:t xml:space="preserve"> reikalavimų</w:t>
      </w:r>
      <w:r w:rsidRPr="00425252">
        <w:rPr>
          <w:rFonts w:ascii="Times New Roman" w:hAnsi="Times New Roman" w:cs="Times New Roman"/>
          <w:color w:val="auto"/>
        </w:rPr>
        <w:t>. Tačiau bet kokie nuokrypiai turi būti nurodyti (pavyzdžiui,</w:t>
      </w:r>
      <w:r w:rsidR="005658CB" w:rsidRPr="00425252">
        <w:rPr>
          <w:rFonts w:ascii="Times New Roman" w:hAnsi="Times New Roman" w:cs="Times New Roman"/>
          <w:color w:val="auto"/>
        </w:rPr>
        <w:t xml:space="preserve"> Ataskaitoje</w:t>
      </w:r>
      <w:r w:rsidRPr="00425252">
        <w:rPr>
          <w:rFonts w:ascii="Times New Roman" w:hAnsi="Times New Roman" w:cs="Times New Roman"/>
          <w:color w:val="auto"/>
        </w:rPr>
        <w:t xml:space="preserve"> deklaruojant, kad vertinimas buvo atliktas pagal TVS ir vietos mokesčių reglamentus). </w:t>
      </w:r>
      <w:r w:rsidRPr="00425252">
        <w:rPr>
          <w:rFonts w:ascii="Times New Roman" w:hAnsi="Times New Roman" w:cs="Times New Roman"/>
          <w:color w:val="auto"/>
        </w:rPr>
        <w:lastRenderedPageBreak/>
        <w:t>Jei</w:t>
      </w:r>
      <w:r w:rsidR="00C475D4" w:rsidRPr="00425252">
        <w:rPr>
          <w:rFonts w:ascii="Times New Roman" w:hAnsi="Times New Roman" w:cs="Times New Roman"/>
          <w:color w:val="auto"/>
        </w:rPr>
        <w:t>gu</w:t>
      </w:r>
      <w:r w:rsidRPr="00425252">
        <w:rPr>
          <w:rFonts w:ascii="Times New Roman" w:hAnsi="Times New Roman" w:cs="Times New Roman"/>
          <w:color w:val="auto"/>
        </w:rPr>
        <w:t xml:space="preserve"> yra nuokrypių, kurie turi esminės įtakos atliekamų procedūrų pobūdžiui, naudojamiems pradiniams duomenims </w:t>
      </w:r>
      <w:r w:rsidR="00AF3203" w:rsidRPr="00425252">
        <w:rPr>
          <w:rFonts w:ascii="Times New Roman" w:hAnsi="Times New Roman" w:cs="Times New Roman"/>
          <w:color w:val="auto"/>
        </w:rPr>
        <w:t xml:space="preserve">ir </w:t>
      </w:r>
      <w:r w:rsidRPr="00425252">
        <w:rPr>
          <w:rFonts w:ascii="Times New Roman" w:hAnsi="Times New Roman" w:cs="Times New Roman"/>
          <w:color w:val="auto"/>
        </w:rPr>
        <w:t>prielaidoms ir (ar</w:t>
      </w:r>
      <w:r w:rsidR="000E6B82" w:rsidRPr="00425252">
        <w:rPr>
          <w:rFonts w:ascii="Times New Roman" w:hAnsi="Times New Roman" w:cs="Times New Roman"/>
          <w:color w:val="auto"/>
        </w:rPr>
        <w:t>ba</w:t>
      </w:r>
      <w:r w:rsidRPr="00425252">
        <w:rPr>
          <w:rFonts w:ascii="Times New Roman" w:hAnsi="Times New Roman" w:cs="Times New Roman"/>
          <w:color w:val="auto"/>
        </w:rPr>
        <w:t>) vertinimo išvadai (-</w:t>
      </w:r>
      <w:proofErr w:type="spellStart"/>
      <w:r w:rsidRPr="00425252">
        <w:rPr>
          <w:rFonts w:ascii="Times New Roman" w:hAnsi="Times New Roman" w:cs="Times New Roman"/>
          <w:color w:val="auto"/>
        </w:rPr>
        <w:t>oms</w:t>
      </w:r>
      <w:proofErr w:type="spellEnd"/>
      <w:r w:rsidRPr="00425252">
        <w:rPr>
          <w:rFonts w:ascii="Times New Roman" w:hAnsi="Times New Roman" w:cs="Times New Roman"/>
          <w:color w:val="auto"/>
        </w:rPr>
        <w:t xml:space="preserve">), vertintojas taip pat privalo atskleisti konkrečius teisinius, norminius ar kitus valdžios reikalavimus ir jų skirtumus nuo TVS reikalavimų (pavyzdžiui, </w:t>
      </w:r>
      <w:r w:rsidR="003C1F22" w:rsidRPr="00425252">
        <w:rPr>
          <w:rFonts w:ascii="Times New Roman" w:hAnsi="Times New Roman" w:cs="Times New Roman"/>
          <w:color w:val="auto"/>
        </w:rPr>
        <w:t>nacionaliniai teisės aktai</w:t>
      </w:r>
      <w:r w:rsidRPr="00425252">
        <w:rPr>
          <w:rFonts w:ascii="Times New Roman" w:hAnsi="Times New Roman" w:cs="Times New Roman"/>
          <w:color w:val="auto"/>
        </w:rPr>
        <w:t xml:space="preserve"> reikalauja, kad būtų taikomas tik lyginamasis (rinkos) požiūris, o pagal TVS turėtų būti taikomas pajamų požiūris). Nuokrypiai nuo TVS, kurie padaryti ne dėl įstatymų, norminių ar kitų valdžios reikalavimų, yra draudžiami atliekant </w:t>
      </w:r>
      <w:r w:rsidRPr="00425252">
        <w:rPr>
          <w:rFonts w:ascii="Times New Roman" w:hAnsi="Times New Roman" w:cs="Times New Roman"/>
          <w:i/>
          <w:iCs/>
          <w:color w:val="auto"/>
        </w:rPr>
        <w:t xml:space="preserve">vertinimą </w:t>
      </w:r>
      <w:r w:rsidRPr="00425252">
        <w:rPr>
          <w:rFonts w:ascii="Times New Roman" w:hAnsi="Times New Roman" w:cs="Times New Roman"/>
          <w:color w:val="auto"/>
        </w:rPr>
        <w:t>pagal TVS.</w:t>
      </w:r>
    </w:p>
    <w:p w14:paraId="52A90BB9" w14:textId="66247421" w:rsidR="00696477" w:rsidRPr="00425252" w:rsidRDefault="00696477" w:rsidP="003A0C90">
      <w:pPr>
        <w:spacing w:before="60" w:after="0" w:line="264" w:lineRule="auto"/>
        <w:ind w:firstLine="720"/>
        <w:jc w:val="both"/>
        <w:rPr>
          <w:rFonts w:ascii="Times New Roman" w:eastAsia="Times New Roman" w:hAnsi="Times New Roman" w:cs="Times New Roman"/>
          <w:sz w:val="24"/>
          <w:szCs w:val="24"/>
        </w:rPr>
      </w:pPr>
      <w:r w:rsidRPr="00425252">
        <w:rPr>
          <w:rFonts w:ascii="Times New Roman" w:eastAsia="Times New Roman" w:hAnsi="Times New Roman" w:cs="Times New Roman"/>
          <w:sz w:val="24"/>
          <w:szCs w:val="24"/>
        </w:rPr>
        <w:t xml:space="preserve">Taip pat ir EVS reglamentuoja nukrypimus nuo Standartų. Nukrypimais laikomos aplinkybės, kai privalomai taikyti vertinimo standartus būtų netinkama arba </w:t>
      </w:r>
      <w:r w:rsidR="002E4B50" w:rsidRPr="00425252">
        <w:rPr>
          <w:rFonts w:ascii="Times New Roman" w:eastAsia="Times New Roman" w:hAnsi="Times New Roman" w:cs="Times New Roman"/>
          <w:sz w:val="24"/>
          <w:szCs w:val="24"/>
        </w:rPr>
        <w:t>nelogiška</w:t>
      </w:r>
      <w:r w:rsidRPr="00425252">
        <w:rPr>
          <w:rFonts w:ascii="Times New Roman" w:eastAsia="Times New Roman" w:hAnsi="Times New Roman" w:cs="Times New Roman"/>
          <w:sz w:val="24"/>
          <w:szCs w:val="24"/>
        </w:rPr>
        <w:t xml:space="preserve">. </w:t>
      </w:r>
      <w:r w:rsidR="003A0C90" w:rsidRPr="00425252">
        <w:rPr>
          <w:rFonts w:ascii="Times New Roman" w:eastAsia="Times New Roman" w:hAnsi="Times New Roman" w:cs="Times New Roman"/>
          <w:sz w:val="24"/>
          <w:szCs w:val="24"/>
        </w:rPr>
        <w:t>EVS reikalauja, kad Ataskaitoje vertintojas turi nurodyti bet kokio nukrypimo nuo EVS mastą ir priežastis, arba paaiškinti, kodėl buvo praleista kokia nors svarbi vertinimo proceso dalis (5-ojo EVS „Vertinimo ataskaitos“ 4.2.9 p.)</w:t>
      </w:r>
      <w:r w:rsidRPr="00425252">
        <w:rPr>
          <w:rFonts w:ascii="Times New Roman" w:eastAsia="Times New Roman" w:hAnsi="Times New Roman" w:cs="Times New Roman"/>
          <w:sz w:val="24"/>
          <w:szCs w:val="24"/>
        </w:rPr>
        <w:t>.</w:t>
      </w:r>
    </w:p>
    <w:p w14:paraId="52A90BBA" w14:textId="77777777" w:rsidR="00696477" w:rsidRPr="00425252" w:rsidRDefault="00696477" w:rsidP="002412AC">
      <w:pPr>
        <w:pStyle w:val="Default"/>
        <w:pBdr>
          <w:bottom w:val="single" w:sz="4" w:space="1" w:color="auto"/>
        </w:pBdr>
        <w:rPr>
          <w:rFonts w:ascii="Times New Roman" w:eastAsia="Calibri" w:hAnsi="Times New Roman" w:cs="Times New Roman"/>
          <w:color w:val="auto"/>
        </w:rPr>
      </w:pPr>
    </w:p>
    <w:p w14:paraId="52A90BBC" w14:textId="77777777" w:rsidR="00696477" w:rsidRPr="00425252" w:rsidRDefault="00696477" w:rsidP="00696477">
      <w:pPr>
        <w:spacing w:after="0" w:line="264" w:lineRule="auto"/>
        <w:jc w:val="both"/>
        <w:rPr>
          <w:rFonts w:ascii="Times New Roman" w:eastAsia="Calibri" w:hAnsi="Times New Roman" w:cs="Times New Roman"/>
          <w:b/>
        </w:rPr>
      </w:pPr>
    </w:p>
    <w:p w14:paraId="52A90BBD" w14:textId="77777777" w:rsidR="00696477" w:rsidRPr="00425252" w:rsidRDefault="00696477" w:rsidP="00696477">
      <w:pPr>
        <w:spacing w:after="0" w:line="264" w:lineRule="auto"/>
        <w:jc w:val="both"/>
        <w:rPr>
          <w:rFonts w:ascii="Times New Roman" w:hAnsi="Times New Roman" w:cs="Times New Roman"/>
          <w:b/>
          <w:sz w:val="24"/>
          <w:szCs w:val="24"/>
        </w:rPr>
      </w:pPr>
      <w:r w:rsidRPr="00425252">
        <w:rPr>
          <w:rFonts w:ascii="Times New Roman" w:hAnsi="Times New Roman" w:cs="Times New Roman"/>
          <w:b/>
          <w:sz w:val="24"/>
          <w:szCs w:val="24"/>
        </w:rPr>
        <w:t>Šaltiniai:</w:t>
      </w:r>
    </w:p>
    <w:p w14:paraId="52A90BBE" w14:textId="765A5465" w:rsidR="00696477" w:rsidRPr="00425252" w:rsidRDefault="00A0576F" w:rsidP="00A0576F">
      <w:pPr>
        <w:pStyle w:val="ListParagraph"/>
        <w:numPr>
          <w:ilvl w:val="0"/>
          <w:numId w:val="2"/>
        </w:numPr>
        <w:spacing w:after="0" w:line="264" w:lineRule="auto"/>
        <w:jc w:val="both"/>
        <w:rPr>
          <w:rFonts w:ascii="Times New Roman" w:eastAsiaTheme="minorHAnsi" w:hAnsi="Times New Roman"/>
          <w:bCs/>
          <w:iCs/>
          <w:sz w:val="24"/>
          <w:szCs w:val="24"/>
          <w:lang w:eastAsia="en-US"/>
        </w:rPr>
      </w:pPr>
      <w:r w:rsidRPr="00425252">
        <w:rPr>
          <w:rFonts w:ascii="Times New Roman" w:eastAsia="Times New Roman" w:hAnsi="Times New Roman"/>
          <w:sz w:val="24"/>
          <w:szCs w:val="24"/>
        </w:rPr>
        <w:t xml:space="preserve">LR </w:t>
      </w:r>
      <w:r w:rsidR="00362409" w:rsidRPr="00425252">
        <w:rPr>
          <w:rFonts w:ascii="Times New Roman" w:eastAsia="Times New Roman" w:hAnsi="Times New Roman"/>
          <w:sz w:val="24"/>
          <w:szCs w:val="24"/>
        </w:rPr>
        <w:t xml:space="preserve">turto </w:t>
      </w:r>
      <w:r w:rsidRPr="00425252">
        <w:rPr>
          <w:rFonts w:ascii="Times New Roman" w:eastAsia="Times New Roman" w:hAnsi="Times New Roman"/>
          <w:sz w:val="24"/>
          <w:szCs w:val="24"/>
        </w:rPr>
        <w:t>ir verslo vertinimo pagrindų įstatym</w:t>
      </w:r>
      <w:r w:rsidR="00642FEC">
        <w:rPr>
          <w:rFonts w:ascii="Times New Roman" w:eastAsia="Times New Roman" w:hAnsi="Times New Roman"/>
          <w:sz w:val="24"/>
          <w:szCs w:val="24"/>
        </w:rPr>
        <w:t xml:space="preserve">o </w:t>
      </w:r>
      <w:r w:rsidR="00642FEC" w:rsidRPr="00425252">
        <w:rPr>
          <w:rFonts w:ascii="Times New Roman" w:hAnsi="Times New Roman"/>
          <w:sz w:val="24"/>
          <w:szCs w:val="24"/>
        </w:rPr>
        <w:t xml:space="preserve">5 str. 4 </w:t>
      </w:r>
      <w:r w:rsidR="00481E92">
        <w:rPr>
          <w:rFonts w:ascii="Times New Roman" w:hAnsi="Times New Roman"/>
          <w:sz w:val="24"/>
          <w:szCs w:val="24"/>
        </w:rPr>
        <w:t>d</w:t>
      </w:r>
      <w:r w:rsidR="00642FEC" w:rsidRPr="00425252">
        <w:rPr>
          <w:rFonts w:ascii="Times New Roman" w:hAnsi="Times New Roman"/>
          <w:sz w:val="24"/>
          <w:szCs w:val="24"/>
        </w:rPr>
        <w:t>.</w:t>
      </w:r>
      <w:r w:rsidR="00696477" w:rsidRPr="00425252">
        <w:rPr>
          <w:rFonts w:ascii="Times New Roman" w:eastAsiaTheme="minorHAnsi" w:hAnsi="Times New Roman"/>
          <w:bCs/>
          <w:iCs/>
          <w:sz w:val="24"/>
          <w:szCs w:val="24"/>
          <w:lang w:eastAsia="en-US"/>
        </w:rPr>
        <w:t>;</w:t>
      </w:r>
    </w:p>
    <w:p w14:paraId="52A90BBF" w14:textId="7F60DC96" w:rsidR="00696477" w:rsidRPr="00425252" w:rsidRDefault="00696477" w:rsidP="00696477">
      <w:pPr>
        <w:pStyle w:val="ListParagraph"/>
        <w:numPr>
          <w:ilvl w:val="0"/>
          <w:numId w:val="2"/>
        </w:numPr>
        <w:spacing w:after="0" w:line="264" w:lineRule="auto"/>
        <w:jc w:val="both"/>
        <w:rPr>
          <w:rFonts w:ascii="Times New Roman" w:hAnsi="Times New Roman"/>
          <w:sz w:val="24"/>
          <w:szCs w:val="24"/>
          <w:lang w:eastAsia="en-US"/>
        </w:rPr>
      </w:pPr>
      <w:r w:rsidRPr="00425252">
        <w:rPr>
          <w:rFonts w:ascii="Times New Roman" w:hAnsi="Times New Roman"/>
          <w:sz w:val="24"/>
          <w:szCs w:val="24"/>
          <w:lang w:eastAsia="en-US"/>
        </w:rPr>
        <w:t>Turto ir verslo vertinimo metodik</w:t>
      </w:r>
      <w:r w:rsidR="00C57509">
        <w:rPr>
          <w:rFonts w:ascii="Times New Roman" w:hAnsi="Times New Roman"/>
          <w:sz w:val="24"/>
          <w:szCs w:val="24"/>
          <w:lang w:eastAsia="en-US"/>
        </w:rPr>
        <w:t xml:space="preserve">os </w:t>
      </w:r>
      <w:r w:rsidR="00C57509" w:rsidRPr="00425252">
        <w:rPr>
          <w:rFonts w:ascii="Times New Roman" w:hAnsi="Times New Roman"/>
          <w:sz w:val="24"/>
          <w:szCs w:val="24"/>
        </w:rPr>
        <w:t>12.3 p., 14.3 p., 16.3 p., 21.2 p., 26.2 p.</w:t>
      </w:r>
      <w:r w:rsidRPr="00425252">
        <w:rPr>
          <w:rFonts w:ascii="Times New Roman" w:hAnsi="Times New Roman"/>
          <w:sz w:val="24"/>
          <w:szCs w:val="24"/>
          <w:lang w:eastAsia="en-US"/>
        </w:rPr>
        <w:t>;</w:t>
      </w:r>
    </w:p>
    <w:p w14:paraId="52A90BC0" w14:textId="7EDD32A2" w:rsidR="00696477" w:rsidRDefault="00696477" w:rsidP="00696477">
      <w:pPr>
        <w:pStyle w:val="ListParagraph"/>
        <w:numPr>
          <w:ilvl w:val="0"/>
          <w:numId w:val="2"/>
        </w:numPr>
        <w:spacing w:after="0" w:line="264" w:lineRule="auto"/>
        <w:jc w:val="both"/>
        <w:rPr>
          <w:rFonts w:ascii="Times New Roman" w:hAnsi="Times New Roman"/>
          <w:sz w:val="24"/>
          <w:szCs w:val="24"/>
        </w:rPr>
      </w:pPr>
      <w:r w:rsidRPr="00425252">
        <w:rPr>
          <w:rFonts w:ascii="Times New Roman" w:hAnsi="Times New Roman"/>
          <w:sz w:val="24"/>
          <w:szCs w:val="24"/>
        </w:rPr>
        <w:t>Tarptautiniai vertinimo standartai</w:t>
      </w:r>
      <w:r w:rsidR="00712725">
        <w:rPr>
          <w:rFonts w:ascii="Times New Roman" w:hAnsi="Times New Roman"/>
          <w:sz w:val="24"/>
          <w:szCs w:val="24"/>
        </w:rPr>
        <w:t xml:space="preserve">: </w:t>
      </w:r>
    </w:p>
    <w:p w14:paraId="207FD11F" w14:textId="77777777" w:rsidR="00712725" w:rsidRPr="00425252" w:rsidRDefault="00712725" w:rsidP="00712725">
      <w:pPr>
        <w:pStyle w:val="ListParagraph"/>
        <w:numPr>
          <w:ilvl w:val="1"/>
          <w:numId w:val="2"/>
        </w:numPr>
        <w:spacing w:after="0" w:line="264" w:lineRule="auto"/>
        <w:rPr>
          <w:rFonts w:ascii="Times New Roman" w:hAnsi="Times New Roman"/>
          <w:sz w:val="24"/>
          <w:szCs w:val="24"/>
        </w:rPr>
      </w:pPr>
      <w:r w:rsidRPr="00425252">
        <w:rPr>
          <w:rFonts w:ascii="Times New Roman" w:hAnsi="Times New Roman"/>
          <w:sz w:val="24"/>
          <w:szCs w:val="24"/>
        </w:rPr>
        <w:t>TVS struktūriniai pagrindai 60.1–60.4 p.;</w:t>
      </w:r>
    </w:p>
    <w:p w14:paraId="6286497B" w14:textId="77777777" w:rsidR="00712725" w:rsidRPr="00425252" w:rsidRDefault="00712725" w:rsidP="00712725">
      <w:pPr>
        <w:pStyle w:val="ListParagraph"/>
        <w:numPr>
          <w:ilvl w:val="1"/>
          <w:numId w:val="2"/>
        </w:numPr>
        <w:spacing w:after="0" w:line="264" w:lineRule="auto"/>
        <w:rPr>
          <w:rFonts w:ascii="Times New Roman" w:hAnsi="Times New Roman"/>
          <w:sz w:val="24"/>
          <w:szCs w:val="24"/>
        </w:rPr>
      </w:pPr>
      <w:r w:rsidRPr="00425252">
        <w:rPr>
          <w:rFonts w:ascii="Times New Roman" w:hAnsi="Times New Roman"/>
          <w:sz w:val="24"/>
          <w:szCs w:val="24"/>
        </w:rPr>
        <w:t>101-ojo TVS 20.3 p. n d.;</w:t>
      </w:r>
    </w:p>
    <w:p w14:paraId="54BDEEDD" w14:textId="77777777" w:rsidR="00712725" w:rsidRPr="00425252" w:rsidRDefault="00712725" w:rsidP="00712725">
      <w:pPr>
        <w:pStyle w:val="ListParagraph"/>
        <w:numPr>
          <w:ilvl w:val="1"/>
          <w:numId w:val="2"/>
        </w:numPr>
        <w:spacing w:after="0" w:line="264" w:lineRule="auto"/>
        <w:rPr>
          <w:rFonts w:ascii="Times New Roman" w:hAnsi="Times New Roman"/>
          <w:sz w:val="24"/>
          <w:szCs w:val="24"/>
        </w:rPr>
      </w:pPr>
      <w:r w:rsidRPr="00425252">
        <w:rPr>
          <w:rFonts w:ascii="Times New Roman" w:hAnsi="Times New Roman"/>
          <w:sz w:val="24"/>
          <w:szCs w:val="24"/>
        </w:rPr>
        <w:t>102-ojo TVS 40.1 p.</w:t>
      </w:r>
    </w:p>
    <w:p w14:paraId="52A90BC1" w14:textId="1C2413F9" w:rsidR="00696477" w:rsidRDefault="00696477" w:rsidP="00696477">
      <w:pPr>
        <w:pStyle w:val="ListParagraph"/>
        <w:numPr>
          <w:ilvl w:val="0"/>
          <w:numId w:val="2"/>
        </w:numPr>
        <w:spacing w:after="0" w:line="264" w:lineRule="auto"/>
        <w:jc w:val="both"/>
        <w:rPr>
          <w:rFonts w:ascii="Times New Roman" w:hAnsi="Times New Roman"/>
          <w:sz w:val="24"/>
          <w:szCs w:val="24"/>
        </w:rPr>
      </w:pPr>
      <w:r w:rsidRPr="00425252">
        <w:rPr>
          <w:rFonts w:ascii="Times New Roman" w:hAnsi="Times New Roman"/>
          <w:sz w:val="24"/>
          <w:szCs w:val="24"/>
        </w:rPr>
        <w:t>Europos vertinimo standart</w:t>
      </w:r>
      <w:r w:rsidR="00712725">
        <w:rPr>
          <w:rFonts w:ascii="Times New Roman" w:hAnsi="Times New Roman"/>
          <w:sz w:val="24"/>
          <w:szCs w:val="24"/>
        </w:rPr>
        <w:t xml:space="preserve">ų: </w:t>
      </w:r>
    </w:p>
    <w:p w14:paraId="6E8E9CF6" w14:textId="77777777" w:rsidR="000E3C24" w:rsidRPr="00425252" w:rsidRDefault="000E3C24" w:rsidP="000E3C24">
      <w:pPr>
        <w:pStyle w:val="ListParagraph"/>
        <w:numPr>
          <w:ilvl w:val="1"/>
          <w:numId w:val="2"/>
        </w:numPr>
        <w:spacing w:after="0" w:line="264" w:lineRule="auto"/>
        <w:rPr>
          <w:rFonts w:ascii="Times New Roman" w:hAnsi="Times New Roman"/>
          <w:sz w:val="24"/>
          <w:szCs w:val="24"/>
        </w:rPr>
      </w:pPr>
      <w:r w:rsidRPr="00425252">
        <w:rPr>
          <w:rFonts w:ascii="Times New Roman" w:hAnsi="Times New Roman"/>
          <w:sz w:val="24"/>
          <w:szCs w:val="24"/>
        </w:rPr>
        <w:t xml:space="preserve">4-ojo EVS </w:t>
      </w:r>
      <w:r w:rsidRPr="00425252">
        <w:rPr>
          <w:rFonts w:ascii="Times New Roman" w:eastAsia="Times New Roman" w:hAnsi="Times New Roman"/>
          <w:sz w:val="24"/>
          <w:szCs w:val="24"/>
        </w:rPr>
        <w:t xml:space="preserve"> 5.6 p. ir 5.10 p.;</w:t>
      </w:r>
    </w:p>
    <w:p w14:paraId="70287BA1" w14:textId="77777777" w:rsidR="000E3C24" w:rsidRPr="00425252" w:rsidRDefault="000E3C24" w:rsidP="000E3C24">
      <w:pPr>
        <w:pStyle w:val="ListParagraph"/>
        <w:numPr>
          <w:ilvl w:val="1"/>
          <w:numId w:val="2"/>
        </w:numPr>
        <w:spacing w:after="0" w:line="264" w:lineRule="auto"/>
        <w:rPr>
          <w:rFonts w:ascii="Times New Roman" w:hAnsi="Times New Roman"/>
          <w:sz w:val="24"/>
          <w:szCs w:val="24"/>
        </w:rPr>
      </w:pPr>
      <w:r w:rsidRPr="00425252">
        <w:rPr>
          <w:rFonts w:ascii="Times New Roman" w:hAnsi="Times New Roman"/>
          <w:sz w:val="24"/>
          <w:szCs w:val="24"/>
        </w:rPr>
        <w:t xml:space="preserve">5-ojo EVS </w:t>
      </w:r>
      <w:r w:rsidRPr="00425252">
        <w:rPr>
          <w:rFonts w:ascii="Times New Roman" w:eastAsia="Times New Roman" w:hAnsi="Times New Roman"/>
          <w:sz w:val="24"/>
          <w:szCs w:val="24"/>
        </w:rPr>
        <w:t>4.2.9 p.;</w:t>
      </w:r>
    </w:p>
    <w:p w14:paraId="5C1BCFD7" w14:textId="77777777" w:rsidR="000E3C24" w:rsidRPr="00425252" w:rsidRDefault="000E3C24" w:rsidP="000E3C24">
      <w:pPr>
        <w:pStyle w:val="ListParagraph"/>
        <w:numPr>
          <w:ilvl w:val="1"/>
          <w:numId w:val="2"/>
        </w:numPr>
        <w:spacing w:after="0" w:line="264" w:lineRule="auto"/>
        <w:rPr>
          <w:rFonts w:ascii="Times New Roman" w:hAnsi="Times New Roman"/>
          <w:sz w:val="24"/>
          <w:szCs w:val="24"/>
        </w:rPr>
      </w:pPr>
      <w:r w:rsidRPr="00425252">
        <w:rPr>
          <w:rFonts w:ascii="Times New Roman" w:eastAsia="Times New Roman" w:hAnsi="Times New Roman"/>
          <w:sz w:val="24"/>
          <w:szCs w:val="24"/>
        </w:rPr>
        <w:t xml:space="preserve">Terminų žodyno sąvoka </w:t>
      </w:r>
      <w:r w:rsidRPr="00425252">
        <w:rPr>
          <w:rFonts w:ascii="Times New Roman" w:eastAsia="Times New Roman" w:hAnsi="Times New Roman"/>
          <w:iCs/>
          <w:sz w:val="24"/>
          <w:szCs w:val="24"/>
        </w:rPr>
        <w:t>„nukrypimas“.</w:t>
      </w:r>
    </w:p>
    <w:p w14:paraId="52A90BC2" w14:textId="5CE16AD0" w:rsidR="00696477" w:rsidRPr="00425252" w:rsidRDefault="00696477" w:rsidP="00696477">
      <w:pPr>
        <w:pStyle w:val="ListParagraph"/>
        <w:numPr>
          <w:ilvl w:val="0"/>
          <w:numId w:val="2"/>
        </w:numPr>
        <w:spacing w:after="0" w:line="264" w:lineRule="auto"/>
        <w:jc w:val="both"/>
        <w:rPr>
          <w:rFonts w:ascii="Times New Roman" w:hAnsi="Times New Roman"/>
          <w:sz w:val="24"/>
          <w:szCs w:val="24"/>
        </w:rPr>
      </w:pPr>
      <w:r w:rsidRPr="00425252">
        <w:rPr>
          <w:rFonts w:ascii="Times New Roman" w:hAnsi="Times New Roman"/>
          <w:sz w:val="24"/>
          <w:szCs w:val="24"/>
        </w:rPr>
        <w:t>Teismų praktika</w:t>
      </w:r>
      <w:r w:rsidR="000E3C24">
        <w:rPr>
          <w:rFonts w:ascii="Times New Roman" w:hAnsi="Times New Roman"/>
          <w:sz w:val="24"/>
          <w:szCs w:val="24"/>
        </w:rPr>
        <w:t xml:space="preserve">: </w:t>
      </w:r>
    </w:p>
    <w:p w14:paraId="52A90BD1" w14:textId="79424B35" w:rsidR="00696477" w:rsidRPr="00425252" w:rsidRDefault="00696477" w:rsidP="005658CB">
      <w:pPr>
        <w:pStyle w:val="ListParagraph"/>
        <w:numPr>
          <w:ilvl w:val="1"/>
          <w:numId w:val="3"/>
        </w:numPr>
        <w:spacing w:after="0" w:line="264" w:lineRule="auto"/>
        <w:jc w:val="both"/>
        <w:rPr>
          <w:rFonts w:ascii="Times New Roman" w:hAnsi="Times New Roman"/>
          <w:sz w:val="24"/>
          <w:szCs w:val="24"/>
        </w:rPr>
      </w:pPr>
      <w:r w:rsidRPr="00425252">
        <w:rPr>
          <w:rFonts w:ascii="Times New Roman" w:hAnsi="Times New Roman"/>
          <w:spacing w:val="2"/>
          <w:sz w:val="24"/>
          <w:szCs w:val="24"/>
          <w:shd w:val="clear" w:color="auto" w:fill="FFFFFF"/>
        </w:rPr>
        <w:t xml:space="preserve">Lietuvos vyriausiojo administracinio teismo 2017 m. liepos 27 d. nutartis administracinėje byloje Nr. </w:t>
      </w:r>
      <w:r w:rsidRPr="00425252">
        <w:rPr>
          <w:rFonts w:ascii="Times New Roman" w:hAnsi="Times New Roman"/>
          <w:sz w:val="24"/>
          <w:szCs w:val="24"/>
        </w:rPr>
        <w:t>eA-307-822/2017</w:t>
      </w:r>
      <w:r w:rsidRPr="00425252">
        <w:rPr>
          <w:rFonts w:ascii="Times New Roman" w:hAnsi="Times New Roman"/>
          <w:spacing w:val="2"/>
          <w:sz w:val="24"/>
          <w:szCs w:val="24"/>
          <w:shd w:val="clear" w:color="auto" w:fill="FFFFFF"/>
        </w:rPr>
        <w:t>;</w:t>
      </w:r>
    </w:p>
    <w:p w14:paraId="52A90BD2" w14:textId="77777777" w:rsidR="00696477" w:rsidRPr="00425252" w:rsidRDefault="00696477" w:rsidP="005658CB">
      <w:pPr>
        <w:pStyle w:val="ListParagraph"/>
        <w:numPr>
          <w:ilvl w:val="1"/>
          <w:numId w:val="3"/>
        </w:numPr>
        <w:spacing w:after="0" w:line="264" w:lineRule="auto"/>
        <w:jc w:val="both"/>
        <w:rPr>
          <w:rFonts w:ascii="Times New Roman" w:hAnsi="Times New Roman"/>
          <w:sz w:val="24"/>
          <w:szCs w:val="24"/>
        </w:rPr>
      </w:pPr>
      <w:r w:rsidRPr="00425252">
        <w:rPr>
          <w:rFonts w:ascii="Times New Roman" w:hAnsi="Times New Roman"/>
          <w:spacing w:val="2"/>
          <w:sz w:val="24"/>
          <w:szCs w:val="24"/>
          <w:shd w:val="clear" w:color="auto" w:fill="FFFFFF"/>
        </w:rPr>
        <w:t xml:space="preserve">Lietuvos vyriausiojo administracinio teismo 2018 m. spalio 22 d. sprendimas administracinėje byloje Nr. </w:t>
      </w:r>
      <w:r w:rsidRPr="00425252">
        <w:rPr>
          <w:rFonts w:ascii="Times New Roman" w:eastAsia="Times New Roman" w:hAnsi="Times New Roman"/>
          <w:sz w:val="24"/>
          <w:szCs w:val="24"/>
        </w:rPr>
        <w:t>eI-6-822/2018.</w:t>
      </w:r>
    </w:p>
    <w:p w14:paraId="52A90BD3" w14:textId="29F8A98C" w:rsidR="00EE3A5B" w:rsidRPr="00425252" w:rsidRDefault="00EE3A5B"/>
    <w:p w14:paraId="2B2E5666" w14:textId="77777777" w:rsidR="00D752F6" w:rsidRPr="00425252" w:rsidRDefault="00D752F6"/>
    <w:sectPr w:rsidR="00D752F6" w:rsidRPr="00425252" w:rsidSect="003565BC">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E16"/>
    <w:multiLevelType w:val="hybridMultilevel"/>
    <w:tmpl w:val="135C0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222"/>
    <w:multiLevelType w:val="hybridMultilevel"/>
    <w:tmpl w:val="D1E6F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23D78"/>
    <w:multiLevelType w:val="multilevel"/>
    <w:tmpl w:val="C2FA79E6"/>
    <w:lvl w:ilvl="0">
      <w:start w:val="3"/>
      <w:numFmt w:val="decimal"/>
      <w:lvlText w:val="%1."/>
      <w:lvlJc w:val="left"/>
      <w:pPr>
        <w:ind w:left="720" w:hanging="360"/>
      </w:pPr>
      <w:rPr>
        <w:color w:val="221F1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9F703F"/>
    <w:multiLevelType w:val="multilevel"/>
    <w:tmpl w:val="D276B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722B6B"/>
    <w:multiLevelType w:val="multilevel"/>
    <w:tmpl w:val="34AE5090"/>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rPr>
        <w:b w:val="0"/>
      </w:rPr>
    </w:lvl>
    <w:lvl w:ilvl="2">
      <w:start w:val="1"/>
      <w:numFmt w:val="lowerLetter"/>
      <w:lvlText w:val="%3)"/>
      <w:lvlJc w:val="left"/>
      <w:pPr>
        <w:ind w:left="1224" w:hanging="504"/>
      </w:pPr>
      <w:rPr>
        <w:rFonts w:ascii="Times New Roman" w:eastAsia="Calibri"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7007260">
    <w:abstractNumId w:val="4"/>
  </w:num>
  <w:num w:numId="2" w16cid:durableId="272982706">
    <w:abstractNumId w:val="0"/>
  </w:num>
  <w:num w:numId="3" w16cid:durableId="1618949178">
    <w:abstractNumId w:val="1"/>
  </w:num>
  <w:num w:numId="4" w16cid:durableId="1134835994">
    <w:abstractNumId w:val="2"/>
  </w:num>
  <w:num w:numId="5" w16cid:durableId="1571113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77"/>
    <w:rsid w:val="000124ED"/>
    <w:rsid w:val="0004270A"/>
    <w:rsid w:val="00062B20"/>
    <w:rsid w:val="00083475"/>
    <w:rsid w:val="000869F1"/>
    <w:rsid w:val="00090A45"/>
    <w:rsid w:val="000B1741"/>
    <w:rsid w:val="000C4106"/>
    <w:rsid w:val="000E3C24"/>
    <w:rsid w:val="000E471E"/>
    <w:rsid w:val="000E6B82"/>
    <w:rsid w:val="000F0306"/>
    <w:rsid w:val="000F4024"/>
    <w:rsid w:val="0010448A"/>
    <w:rsid w:val="001064AE"/>
    <w:rsid w:val="00107F96"/>
    <w:rsid w:val="00110BEC"/>
    <w:rsid w:val="001231BA"/>
    <w:rsid w:val="00137609"/>
    <w:rsid w:val="00141AB6"/>
    <w:rsid w:val="001568D7"/>
    <w:rsid w:val="00157960"/>
    <w:rsid w:val="00165BE9"/>
    <w:rsid w:val="0018424E"/>
    <w:rsid w:val="001A1FF0"/>
    <w:rsid w:val="001A29D4"/>
    <w:rsid w:val="001C0E2D"/>
    <w:rsid w:val="001C75AB"/>
    <w:rsid w:val="001E173E"/>
    <w:rsid w:val="001E297C"/>
    <w:rsid w:val="001F4408"/>
    <w:rsid w:val="0020741C"/>
    <w:rsid w:val="00213AF1"/>
    <w:rsid w:val="00214FEC"/>
    <w:rsid w:val="00216276"/>
    <w:rsid w:val="00222BEC"/>
    <w:rsid w:val="00225B15"/>
    <w:rsid w:val="00226FE1"/>
    <w:rsid w:val="00236BB9"/>
    <w:rsid w:val="002412AC"/>
    <w:rsid w:val="00243432"/>
    <w:rsid w:val="00250319"/>
    <w:rsid w:val="00264466"/>
    <w:rsid w:val="0026462C"/>
    <w:rsid w:val="0028738B"/>
    <w:rsid w:val="002A07E8"/>
    <w:rsid w:val="002A6AFA"/>
    <w:rsid w:val="002B7C92"/>
    <w:rsid w:val="002C17EE"/>
    <w:rsid w:val="002D1E91"/>
    <w:rsid w:val="002D61A9"/>
    <w:rsid w:val="002E4B50"/>
    <w:rsid w:val="002F1E03"/>
    <w:rsid w:val="002F697B"/>
    <w:rsid w:val="00303CAA"/>
    <w:rsid w:val="003160B5"/>
    <w:rsid w:val="00324A07"/>
    <w:rsid w:val="00326723"/>
    <w:rsid w:val="00341CF4"/>
    <w:rsid w:val="00345764"/>
    <w:rsid w:val="003565BC"/>
    <w:rsid w:val="00357403"/>
    <w:rsid w:val="00361856"/>
    <w:rsid w:val="00362409"/>
    <w:rsid w:val="00370DD4"/>
    <w:rsid w:val="003A0C90"/>
    <w:rsid w:val="003B3061"/>
    <w:rsid w:val="003C1176"/>
    <w:rsid w:val="003C1F22"/>
    <w:rsid w:val="003D7D2E"/>
    <w:rsid w:val="0040086B"/>
    <w:rsid w:val="0042252E"/>
    <w:rsid w:val="00425252"/>
    <w:rsid w:val="004644A5"/>
    <w:rsid w:val="00464BC7"/>
    <w:rsid w:val="004653D0"/>
    <w:rsid w:val="00475752"/>
    <w:rsid w:val="00481191"/>
    <w:rsid w:val="00481E92"/>
    <w:rsid w:val="00482914"/>
    <w:rsid w:val="00483C4A"/>
    <w:rsid w:val="004862E1"/>
    <w:rsid w:val="004867EC"/>
    <w:rsid w:val="0049070E"/>
    <w:rsid w:val="004A019B"/>
    <w:rsid w:val="004A3393"/>
    <w:rsid w:val="004A40D2"/>
    <w:rsid w:val="004B375F"/>
    <w:rsid w:val="004B4450"/>
    <w:rsid w:val="004D3F6F"/>
    <w:rsid w:val="004F2BE4"/>
    <w:rsid w:val="00510B44"/>
    <w:rsid w:val="005219A3"/>
    <w:rsid w:val="0053633D"/>
    <w:rsid w:val="00551830"/>
    <w:rsid w:val="00565888"/>
    <w:rsid w:val="005658CB"/>
    <w:rsid w:val="00574E72"/>
    <w:rsid w:val="005A59D8"/>
    <w:rsid w:val="005B1C6A"/>
    <w:rsid w:val="005C0FEE"/>
    <w:rsid w:val="005D17A0"/>
    <w:rsid w:val="005D3917"/>
    <w:rsid w:val="005E0FA0"/>
    <w:rsid w:val="005F3027"/>
    <w:rsid w:val="006025EB"/>
    <w:rsid w:val="0061301E"/>
    <w:rsid w:val="00620D52"/>
    <w:rsid w:val="00632646"/>
    <w:rsid w:val="00642FEC"/>
    <w:rsid w:val="0065075B"/>
    <w:rsid w:val="00662660"/>
    <w:rsid w:val="00695063"/>
    <w:rsid w:val="00696477"/>
    <w:rsid w:val="006A1A0B"/>
    <w:rsid w:val="006A4A51"/>
    <w:rsid w:val="006A79BD"/>
    <w:rsid w:val="006D4419"/>
    <w:rsid w:val="006D44C9"/>
    <w:rsid w:val="006D4C00"/>
    <w:rsid w:val="00712725"/>
    <w:rsid w:val="00727E76"/>
    <w:rsid w:val="00754AE5"/>
    <w:rsid w:val="00761722"/>
    <w:rsid w:val="0077006D"/>
    <w:rsid w:val="00771BFC"/>
    <w:rsid w:val="00773EFA"/>
    <w:rsid w:val="00776D74"/>
    <w:rsid w:val="007B2271"/>
    <w:rsid w:val="007B39B2"/>
    <w:rsid w:val="007C04CB"/>
    <w:rsid w:val="007C0EDD"/>
    <w:rsid w:val="007C4802"/>
    <w:rsid w:val="007D0535"/>
    <w:rsid w:val="007D793C"/>
    <w:rsid w:val="007E41FD"/>
    <w:rsid w:val="007F3003"/>
    <w:rsid w:val="008134B6"/>
    <w:rsid w:val="00825419"/>
    <w:rsid w:val="00843DC5"/>
    <w:rsid w:val="008446F0"/>
    <w:rsid w:val="00885246"/>
    <w:rsid w:val="008868E8"/>
    <w:rsid w:val="00886CB2"/>
    <w:rsid w:val="00894CB9"/>
    <w:rsid w:val="008A1ACD"/>
    <w:rsid w:val="008B54EC"/>
    <w:rsid w:val="008C5D51"/>
    <w:rsid w:val="008D59E4"/>
    <w:rsid w:val="008F18A4"/>
    <w:rsid w:val="00904661"/>
    <w:rsid w:val="00905BAC"/>
    <w:rsid w:val="00911F0C"/>
    <w:rsid w:val="0091388B"/>
    <w:rsid w:val="00915D76"/>
    <w:rsid w:val="00921802"/>
    <w:rsid w:val="00923E55"/>
    <w:rsid w:val="00970D47"/>
    <w:rsid w:val="009766EC"/>
    <w:rsid w:val="009D7845"/>
    <w:rsid w:val="009E7A70"/>
    <w:rsid w:val="009F39F6"/>
    <w:rsid w:val="009F5353"/>
    <w:rsid w:val="00A00332"/>
    <w:rsid w:val="00A0461E"/>
    <w:rsid w:val="00A0576F"/>
    <w:rsid w:val="00A247F5"/>
    <w:rsid w:val="00A27883"/>
    <w:rsid w:val="00A30694"/>
    <w:rsid w:val="00A44443"/>
    <w:rsid w:val="00A515AE"/>
    <w:rsid w:val="00A803DB"/>
    <w:rsid w:val="00AA2807"/>
    <w:rsid w:val="00AD0DD6"/>
    <w:rsid w:val="00AF3203"/>
    <w:rsid w:val="00B07330"/>
    <w:rsid w:val="00B328EF"/>
    <w:rsid w:val="00B420DC"/>
    <w:rsid w:val="00B42771"/>
    <w:rsid w:val="00B51225"/>
    <w:rsid w:val="00B64915"/>
    <w:rsid w:val="00B7266B"/>
    <w:rsid w:val="00B841EE"/>
    <w:rsid w:val="00B94842"/>
    <w:rsid w:val="00BA53CA"/>
    <w:rsid w:val="00BC1107"/>
    <w:rsid w:val="00BC5F64"/>
    <w:rsid w:val="00BF4E1C"/>
    <w:rsid w:val="00C005C6"/>
    <w:rsid w:val="00C01922"/>
    <w:rsid w:val="00C400E1"/>
    <w:rsid w:val="00C461A1"/>
    <w:rsid w:val="00C475D4"/>
    <w:rsid w:val="00C53504"/>
    <w:rsid w:val="00C57509"/>
    <w:rsid w:val="00C723B2"/>
    <w:rsid w:val="00C73281"/>
    <w:rsid w:val="00C9178F"/>
    <w:rsid w:val="00C95252"/>
    <w:rsid w:val="00CC0532"/>
    <w:rsid w:val="00CC2C8F"/>
    <w:rsid w:val="00CC3F04"/>
    <w:rsid w:val="00CD36B8"/>
    <w:rsid w:val="00CE1C57"/>
    <w:rsid w:val="00CF48E7"/>
    <w:rsid w:val="00D145BA"/>
    <w:rsid w:val="00D153A8"/>
    <w:rsid w:val="00D205AF"/>
    <w:rsid w:val="00D21CA8"/>
    <w:rsid w:val="00D5273C"/>
    <w:rsid w:val="00D6181F"/>
    <w:rsid w:val="00D62518"/>
    <w:rsid w:val="00D63CD0"/>
    <w:rsid w:val="00D72D86"/>
    <w:rsid w:val="00D752F6"/>
    <w:rsid w:val="00D83BFB"/>
    <w:rsid w:val="00D95DFD"/>
    <w:rsid w:val="00DA1843"/>
    <w:rsid w:val="00DA667A"/>
    <w:rsid w:val="00DA6AB5"/>
    <w:rsid w:val="00DC28D4"/>
    <w:rsid w:val="00DD52A1"/>
    <w:rsid w:val="00DF19E1"/>
    <w:rsid w:val="00E160B1"/>
    <w:rsid w:val="00E22197"/>
    <w:rsid w:val="00E52D70"/>
    <w:rsid w:val="00E63898"/>
    <w:rsid w:val="00E92918"/>
    <w:rsid w:val="00E94698"/>
    <w:rsid w:val="00EA6449"/>
    <w:rsid w:val="00EE3A5B"/>
    <w:rsid w:val="00F001B7"/>
    <w:rsid w:val="00F217F7"/>
    <w:rsid w:val="00F45C34"/>
    <w:rsid w:val="00F54FC5"/>
    <w:rsid w:val="00F5705C"/>
    <w:rsid w:val="00F96B38"/>
    <w:rsid w:val="00FA16E3"/>
    <w:rsid w:val="00FA2F97"/>
    <w:rsid w:val="00FB4249"/>
    <w:rsid w:val="00FE50B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0BB0"/>
  <w15:chartTrackingRefBased/>
  <w15:docId w15:val="{B732DF41-7399-4DEC-94EF-48E2AB33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77"/>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
    <w:basedOn w:val="Normal"/>
    <w:link w:val="ListParagraphChar"/>
    <w:uiPriority w:val="34"/>
    <w:qFormat/>
    <w:rsid w:val="00696477"/>
    <w:pPr>
      <w:ind w:left="720"/>
      <w:contextualSpacing/>
    </w:pPr>
    <w:rPr>
      <w:rFonts w:ascii="Calibri" w:eastAsia="Calibri" w:hAnsi="Calibri" w:cs="Times New Roman"/>
      <w:sz w:val="20"/>
      <w:szCs w:val="20"/>
      <w:lang w:eastAsia="x-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
    <w:link w:val="ListParagraph"/>
    <w:uiPriority w:val="34"/>
    <w:locked/>
    <w:rsid w:val="00696477"/>
    <w:rPr>
      <w:rFonts w:ascii="Calibri" w:eastAsia="Calibri" w:hAnsi="Calibri" w:cs="Times New Roman"/>
      <w:sz w:val="20"/>
      <w:szCs w:val="20"/>
      <w:lang w:val="lt-LT" w:eastAsia="x-none"/>
    </w:rPr>
  </w:style>
  <w:style w:type="paragraph" w:customStyle="1" w:styleId="Default">
    <w:name w:val="Default"/>
    <w:rsid w:val="00696477"/>
    <w:pPr>
      <w:autoSpaceDE w:val="0"/>
      <w:autoSpaceDN w:val="0"/>
      <w:adjustRightInd w:val="0"/>
      <w:spacing w:after="0" w:line="240" w:lineRule="auto"/>
    </w:pPr>
    <w:rPr>
      <w:rFonts w:ascii="Tahoma" w:hAnsi="Tahoma" w:cs="Tahoma"/>
      <w:color w:val="000000"/>
      <w:sz w:val="24"/>
      <w:szCs w:val="24"/>
      <w:lang w:val="lt-LT"/>
    </w:rPr>
  </w:style>
  <w:style w:type="paragraph" w:styleId="Revision">
    <w:name w:val="Revision"/>
    <w:hidden/>
    <w:uiPriority w:val="99"/>
    <w:semiHidden/>
    <w:rsid w:val="004644A5"/>
    <w:pPr>
      <w:spacing w:after="0" w:line="240" w:lineRule="auto"/>
    </w:pPr>
    <w:rPr>
      <w:lang w:val="lt-LT"/>
    </w:rPr>
  </w:style>
  <w:style w:type="character" w:styleId="CommentReference">
    <w:name w:val="annotation reference"/>
    <w:basedOn w:val="DefaultParagraphFont"/>
    <w:uiPriority w:val="99"/>
    <w:semiHidden/>
    <w:unhideWhenUsed/>
    <w:rsid w:val="00A803DB"/>
    <w:rPr>
      <w:sz w:val="16"/>
      <w:szCs w:val="16"/>
    </w:rPr>
  </w:style>
  <w:style w:type="paragraph" w:styleId="CommentText">
    <w:name w:val="annotation text"/>
    <w:basedOn w:val="Normal"/>
    <w:link w:val="CommentTextChar"/>
    <w:uiPriority w:val="99"/>
    <w:unhideWhenUsed/>
    <w:rsid w:val="00A803DB"/>
    <w:pPr>
      <w:spacing w:line="240" w:lineRule="auto"/>
    </w:pPr>
    <w:rPr>
      <w:sz w:val="20"/>
      <w:szCs w:val="20"/>
    </w:rPr>
  </w:style>
  <w:style w:type="character" w:customStyle="1" w:styleId="CommentTextChar">
    <w:name w:val="Comment Text Char"/>
    <w:basedOn w:val="DefaultParagraphFont"/>
    <w:link w:val="CommentText"/>
    <w:uiPriority w:val="99"/>
    <w:rsid w:val="00A803DB"/>
    <w:rPr>
      <w:sz w:val="20"/>
      <w:szCs w:val="20"/>
      <w:lang w:val="lt-LT"/>
    </w:rPr>
  </w:style>
  <w:style w:type="paragraph" w:styleId="CommentSubject">
    <w:name w:val="annotation subject"/>
    <w:basedOn w:val="CommentText"/>
    <w:next w:val="CommentText"/>
    <w:link w:val="CommentSubjectChar"/>
    <w:uiPriority w:val="99"/>
    <w:semiHidden/>
    <w:unhideWhenUsed/>
    <w:rsid w:val="00A803DB"/>
    <w:rPr>
      <w:b/>
      <w:bCs/>
    </w:rPr>
  </w:style>
  <w:style w:type="character" w:customStyle="1" w:styleId="CommentSubjectChar">
    <w:name w:val="Comment Subject Char"/>
    <w:basedOn w:val="CommentTextChar"/>
    <w:link w:val="CommentSubject"/>
    <w:uiPriority w:val="99"/>
    <w:semiHidden/>
    <w:rsid w:val="00A803DB"/>
    <w:rPr>
      <w:b/>
      <w:bCs/>
      <w:sz w:val="20"/>
      <w:szCs w:val="20"/>
      <w:lang w:val="lt-LT"/>
    </w:rPr>
  </w:style>
  <w:style w:type="paragraph" w:styleId="BalloonText">
    <w:name w:val="Balloon Text"/>
    <w:basedOn w:val="Normal"/>
    <w:link w:val="BalloonTextChar"/>
    <w:uiPriority w:val="99"/>
    <w:semiHidden/>
    <w:unhideWhenUsed/>
    <w:rsid w:val="00303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CAA"/>
    <w:rPr>
      <w:rFonts w:ascii="Segoe UI" w:hAnsi="Segoe UI" w:cs="Segoe UI"/>
      <w:sz w:val="18"/>
      <w:szCs w:val="18"/>
      <w:lang w:val="lt-LT"/>
    </w:rPr>
  </w:style>
  <w:style w:type="paragraph" w:styleId="NormalWeb">
    <w:name w:val="Normal (Web)"/>
    <w:basedOn w:val="Normal"/>
    <w:uiPriority w:val="99"/>
    <w:semiHidden/>
    <w:unhideWhenUsed/>
    <w:rsid w:val="00D752F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itle">
    <w:name w:val="Title"/>
    <w:basedOn w:val="Normal"/>
    <w:next w:val="Normal"/>
    <w:link w:val="TitleChar"/>
    <w:uiPriority w:val="10"/>
    <w:qFormat/>
    <w:rsid w:val="00A0576F"/>
    <w:pPr>
      <w:keepNext/>
      <w:keepLines/>
      <w:spacing w:before="480" w:after="120"/>
    </w:pPr>
    <w:rPr>
      <w:rFonts w:ascii="Calibri" w:eastAsia="Calibri" w:hAnsi="Calibri" w:cs="Calibri"/>
      <w:b/>
      <w:sz w:val="72"/>
      <w:szCs w:val="72"/>
      <w:lang w:eastAsia="lt-LT"/>
    </w:rPr>
  </w:style>
  <w:style w:type="character" w:customStyle="1" w:styleId="TitleChar">
    <w:name w:val="Title Char"/>
    <w:basedOn w:val="DefaultParagraphFont"/>
    <w:link w:val="Title"/>
    <w:uiPriority w:val="10"/>
    <w:rsid w:val="00A0576F"/>
    <w:rPr>
      <w:rFonts w:ascii="Calibri" w:eastAsia="Calibri" w:hAnsi="Calibri" w:cs="Calibri"/>
      <w:b/>
      <w:sz w:val="72"/>
      <w:szCs w:val="7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A9BD81FC-4E53-448A-8814-51F18DCF7AAE}"/>
</file>

<file path=customXml/itemProps2.xml><?xml version="1.0" encoding="utf-8"?>
<ds:datastoreItem xmlns:ds="http://schemas.openxmlformats.org/officeDocument/2006/customXml" ds:itemID="{BD8D41DA-49CB-4303-A8B6-9CE161E471CC}">
  <ds:schemaRefs>
    <ds:schemaRef ds:uri="http://schemas.microsoft.com/sharepoint/v3/contenttype/forms"/>
  </ds:schemaRefs>
</ds:datastoreItem>
</file>

<file path=customXml/itemProps3.xml><?xml version="1.0" encoding="utf-8"?>
<ds:datastoreItem xmlns:ds="http://schemas.openxmlformats.org/officeDocument/2006/customXml" ds:itemID="{2BD6C64B-3973-47A0-9D98-54ABB25661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Pages>
  <Words>3708</Words>
  <Characters>2115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Sliogeriene</dc:creator>
  <cp:keywords/>
  <dc:description/>
  <cp:lastModifiedBy>Rimantas Liaugminas | AVNT</cp:lastModifiedBy>
  <cp:revision>129</cp:revision>
  <dcterms:created xsi:type="dcterms:W3CDTF">2022-11-24T11:14:00Z</dcterms:created>
  <dcterms:modified xsi:type="dcterms:W3CDTF">2024-01-31T13:28:00Z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