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90BB0" w14:textId="77777777" w:rsidR="00696477" w:rsidRPr="00425252" w:rsidRDefault="00696477" w:rsidP="00696477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425252">
        <w:rPr>
          <w:rFonts w:ascii="Times New Roman" w:hAnsi="Times New Roman"/>
          <w:b/>
          <w:sz w:val="24"/>
          <w:szCs w:val="24"/>
        </w:rPr>
        <w:t>TARPTAUTINIŲ IR NACIONALINIŲ TEISĖS AKTŲ SANTYKIS ATLIEKANT VERTINIMĄ</w:t>
      </w:r>
    </w:p>
    <w:p w14:paraId="52A90BB1" w14:textId="77777777" w:rsidR="00696477" w:rsidRPr="00425252" w:rsidRDefault="00696477" w:rsidP="00696477">
      <w:pPr>
        <w:pStyle w:val="ListParagraph"/>
        <w:spacing w:after="0" w:line="264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52A90BB2" w14:textId="5A516391" w:rsidR="00696477" w:rsidRPr="00425252" w:rsidRDefault="00696477" w:rsidP="00696477">
      <w:pPr>
        <w:spacing w:after="0" w:line="264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252">
        <w:rPr>
          <w:rFonts w:ascii="Times New Roman" w:eastAsia="Times New Roman" w:hAnsi="Times New Roman" w:cs="Times New Roman"/>
          <w:sz w:val="24"/>
          <w:szCs w:val="24"/>
        </w:rPr>
        <w:t>Praktikoje kyla klausimų dėl skirtingų</w:t>
      </w:r>
      <w:r w:rsidR="00464BC7" w:rsidRPr="00425252">
        <w:rPr>
          <w:rFonts w:ascii="Times New Roman" w:eastAsia="Times New Roman" w:hAnsi="Times New Roman" w:cs="Times New Roman"/>
          <w:sz w:val="24"/>
          <w:szCs w:val="24"/>
        </w:rPr>
        <w:t xml:space="preserve"> turt</w:t>
      </w:r>
      <w:r w:rsidR="00695063" w:rsidRPr="00425252">
        <w:rPr>
          <w:rFonts w:ascii="Times New Roman" w:eastAsia="Times New Roman" w:hAnsi="Times New Roman" w:cs="Times New Roman"/>
          <w:sz w:val="24"/>
          <w:szCs w:val="24"/>
        </w:rPr>
        <w:t>o ir verslo</w:t>
      </w:r>
      <w:r w:rsidRPr="00425252">
        <w:rPr>
          <w:rFonts w:ascii="Times New Roman" w:eastAsia="Times New Roman" w:hAnsi="Times New Roman" w:cs="Times New Roman"/>
          <w:sz w:val="24"/>
          <w:szCs w:val="24"/>
        </w:rPr>
        <w:t xml:space="preserve"> vertinimą reglamentuojančių teisės aktų ir metodinių dokumentų taikymo svarbos ir pirmenybės.</w:t>
      </w:r>
      <w:r w:rsidRPr="004252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2A90BB3" w14:textId="6ED0FE91" w:rsidR="00696477" w:rsidRPr="00425252" w:rsidRDefault="00696477" w:rsidP="00B07330">
      <w:pPr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2525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Pirmiausia</w:t>
      </w:r>
      <w:r w:rsidRPr="00425252" w:rsidDel="00251D0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E52D70" w:rsidRPr="0042525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turto </w:t>
      </w:r>
      <w:r w:rsidR="001A29D4" w:rsidRPr="0042525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ar verslo </w:t>
      </w:r>
      <w:r w:rsidR="006D44C9" w:rsidRPr="0042525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vertintojas</w:t>
      </w:r>
      <w:r w:rsidR="001A29D4" w:rsidRPr="0042525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(toliau – Vertintojas)</w:t>
      </w:r>
      <w:r w:rsidRPr="0042525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turi vadovautis nacionaliniais turto ir verslo vertinimą reglamentuojančiais teisės aktais. </w:t>
      </w:r>
      <w:r w:rsidR="00CC3F04" w:rsidRPr="0042525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Jeigu</w:t>
      </w:r>
      <w:r w:rsidRPr="0042525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nacionalinių teisės aktų nuostatose nėra reikiamų nuostatų ar atitinkamų draudimų, vertintojas turi vadovautis Tarptautiniais vertinimo standartais (toliau</w:t>
      </w:r>
      <w:r w:rsidR="00620D52" w:rsidRPr="0042525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–</w:t>
      </w:r>
      <w:r w:rsidRPr="0042525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TVS) ir Europos vertinimo standartais (toliau </w:t>
      </w:r>
      <w:r w:rsidR="00620D52" w:rsidRPr="0042525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– </w:t>
      </w:r>
      <w:r w:rsidRPr="0042525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EVS</w:t>
      </w:r>
      <w:r w:rsidR="0020741C" w:rsidRPr="0042525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)</w:t>
      </w:r>
      <w:r w:rsidR="00250319" w:rsidRPr="0042525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213AF1" w:rsidRPr="0042525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</w:t>
      </w:r>
      <w:r w:rsidR="00D63CD0" w:rsidRPr="00425252">
        <w:rPr>
          <w:rFonts w:ascii="Times New Roman" w:eastAsia="Times New Roman" w:hAnsi="Times New Roman" w:cs="Times New Roman"/>
          <w:b/>
          <w:bCs/>
          <w:sz w:val="24"/>
          <w:szCs w:val="24"/>
        </w:rPr>
        <w:t>toliau kartu vadina</w:t>
      </w:r>
      <w:r w:rsidR="0061301E" w:rsidRPr="00425252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20741C" w:rsidRPr="004252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 w:rsidR="00250319" w:rsidRPr="00425252">
        <w:rPr>
          <w:rFonts w:ascii="Times New Roman" w:eastAsia="Times New Roman" w:hAnsi="Times New Roman" w:cs="Times New Roman"/>
          <w:b/>
          <w:bCs/>
          <w:sz w:val="24"/>
          <w:szCs w:val="24"/>
        </w:rPr>
        <w:t>Standartai</w:t>
      </w:r>
      <w:r w:rsidR="0020741C" w:rsidRPr="00425252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213AF1" w:rsidRPr="0042525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42525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.</w:t>
      </w:r>
      <w:r w:rsidRPr="0042525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52A90BB4" w14:textId="6D54601B" w:rsidR="00696477" w:rsidRPr="00260F77" w:rsidRDefault="00696477" w:rsidP="00696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252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5252">
        <w:rPr>
          <w:rFonts w:ascii="Times New Roman" w:eastAsia="Times New Roman" w:hAnsi="Times New Roman" w:cs="Times New Roman"/>
          <w:sz w:val="24"/>
          <w:szCs w:val="24"/>
        </w:rPr>
        <w:tab/>
      </w:r>
      <w:r w:rsidRPr="00425252">
        <w:rPr>
          <w:rFonts w:ascii="Times New Roman" w:eastAsia="Calibri" w:hAnsi="Times New Roman" w:cs="Times New Roman"/>
          <w:sz w:val="24"/>
          <w:szCs w:val="24"/>
        </w:rPr>
        <w:t xml:space="preserve">Pažymėtina, kad LR </w:t>
      </w:r>
      <w:r w:rsidR="006D4419" w:rsidRPr="00425252">
        <w:rPr>
          <w:rFonts w:ascii="Times New Roman" w:eastAsia="Calibri" w:hAnsi="Times New Roman" w:cs="Times New Roman"/>
          <w:sz w:val="24"/>
          <w:szCs w:val="24"/>
        </w:rPr>
        <w:t xml:space="preserve">turto </w:t>
      </w:r>
      <w:r w:rsidRPr="00425252">
        <w:rPr>
          <w:rFonts w:ascii="Times New Roman" w:eastAsia="Calibri" w:hAnsi="Times New Roman" w:cs="Times New Roman"/>
          <w:sz w:val="24"/>
          <w:szCs w:val="24"/>
        </w:rPr>
        <w:t>ir verslo vertinimo pagrindų įstatyme</w:t>
      </w:r>
      <w:r w:rsidRPr="00425252">
        <w:rPr>
          <w:rFonts w:ascii="Times New Roman" w:hAnsi="Times New Roman" w:cs="Times New Roman"/>
          <w:bCs/>
          <w:iCs/>
          <w:sz w:val="24"/>
          <w:szCs w:val="24"/>
        </w:rPr>
        <w:t xml:space="preserve"> (toliau </w:t>
      </w:r>
      <w:r w:rsidR="00A30694" w:rsidRPr="00425252">
        <w:rPr>
          <w:rFonts w:ascii="Times New Roman" w:hAnsi="Times New Roman" w:cs="Times New Roman"/>
          <w:bCs/>
          <w:iCs/>
          <w:sz w:val="24"/>
          <w:szCs w:val="24"/>
        </w:rPr>
        <w:t>– Į</w:t>
      </w:r>
      <w:r w:rsidRPr="00425252">
        <w:rPr>
          <w:rFonts w:ascii="Times New Roman" w:hAnsi="Times New Roman" w:cs="Times New Roman"/>
          <w:bCs/>
          <w:iCs/>
          <w:sz w:val="24"/>
          <w:szCs w:val="24"/>
        </w:rPr>
        <w:t>statymas)</w:t>
      </w:r>
      <w:r w:rsidRPr="00425252"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r w:rsidR="00754AE5" w:rsidRPr="004252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LR finansų ministro </w:t>
      </w:r>
      <w:r w:rsidR="00773EFA" w:rsidRPr="004252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2012-04-27 d. įsakymu Nr. 1K-159 </w:t>
      </w:r>
      <w:r w:rsidRPr="00425252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</w:t>
      </w:r>
      <w:r w:rsidR="00D145BA" w:rsidRPr="00425252">
        <w:rPr>
          <w:rFonts w:ascii="Times New Roman" w:eastAsia="Times New Roman" w:hAnsi="Times New Roman" w:cs="Times New Roman"/>
          <w:sz w:val="24"/>
          <w:szCs w:val="24"/>
          <w:lang w:eastAsia="lt-LT"/>
        </w:rPr>
        <w:t>oje</w:t>
      </w:r>
      <w:r w:rsidRPr="004252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73EFA" w:rsidRPr="00425252">
        <w:rPr>
          <w:rFonts w:ascii="Times New Roman" w:eastAsia="Calibri" w:hAnsi="Times New Roman" w:cs="Times New Roman"/>
          <w:sz w:val="24"/>
          <w:szCs w:val="24"/>
        </w:rPr>
        <w:t>Turto ir verslo vertinimo metodikoje</w:t>
      </w:r>
      <w:r w:rsidRPr="004252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</w:t>
      </w:r>
      <w:r w:rsidR="001231BA" w:rsidRPr="004252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</w:t>
      </w:r>
      <w:r w:rsidRPr="00425252">
        <w:rPr>
          <w:rFonts w:ascii="Times New Roman" w:eastAsia="Times New Roman" w:hAnsi="Times New Roman" w:cs="Times New Roman"/>
          <w:sz w:val="24"/>
          <w:szCs w:val="24"/>
          <w:lang w:eastAsia="lt-LT"/>
        </w:rPr>
        <w:t>Metodika)</w:t>
      </w:r>
      <w:r w:rsidRPr="00425252">
        <w:rPr>
          <w:rFonts w:ascii="Times New Roman" w:eastAsia="Calibri" w:hAnsi="Times New Roman" w:cs="Times New Roman"/>
          <w:sz w:val="24"/>
          <w:szCs w:val="24"/>
        </w:rPr>
        <w:t xml:space="preserve"> aiškiai suformuluota nuoroda į </w:t>
      </w:r>
      <w:r w:rsidR="000869F1" w:rsidRPr="00425252">
        <w:rPr>
          <w:rFonts w:ascii="Times New Roman" w:eastAsia="Calibri" w:hAnsi="Times New Roman" w:cs="Times New Roman"/>
          <w:sz w:val="24"/>
          <w:szCs w:val="24"/>
        </w:rPr>
        <w:t>Standar</w:t>
      </w:r>
      <w:r w:rsidRPr="00425252">
        <w:rPr>
          <w:rFonts w:ascii="Times New Roman" w:eastAsia="Calibri" w:hAnsi="Times New Roman" w:cs="Times New Roman"/>
          <w:sz w:val="24"/>
          <w:szCs w:val="24"/>
        </w:rPr>
        <w:t xml:space="preserve">tų taikymą </w:t>
      </w:r>
      <w:r w:rsidR="005A59D8" w:rsidRPr="00425252">
        <w:rPr>
          <w:rFonts w:ascii="Times New Roman" w:eastAsia="Calibri" w:hAnsi="Times New Roman" w:cs="Times New Roman"/>
          <w:sz w:val="24"/>
          <w:szCs w:val="24"/>
        </w:rPr>
        <w:t>atliekant vertinimą</w:t>
      </w:r>
      <w:r w:rsidRPr="00425252">
        <w:rPr>
          <w:rFonts w:ascii="Times New Roman" w:eastAsia="Calibri" w:hAnsi="Times New Roman" w:cs="Times New Roman"/>
          <w:sz w:val="24"/>
          <w:szCs w:val="24"/>
        </w:rPr>
        <w:t>. P</w:t>
      </w:r>
      <w:r w:rsidR="008A1ACD" w:rsidRPr="00425252">
        <w:rPr>
          <w:rFonts w:ascii="Times New Roman" w:eastAsia="Calibri" w:hAnsi="Times New Roman" w:cs="Times New Roman"/>
          <w:sz w:val="24"/>
          <w:szCs w:val="24"/>
        </w:rPr>
        <w:t>a</w:t>
      </w:r>
      <w:r w:rsidRPr="00425252">
        <w:rPr>
          <w:rFonts w:ascii="Times New Roman" w:eastAsia="Calibri" w:hAnsi="Times New Roman" w:cs="Times New Roman"/>
          <w:sz w:val="24"/>
          <w:szCs w:val="24"/>
        </w:rPr>
        <w:t>v</w:t>
      </w:r>
      <w:r w:rsidR="008A1ACD" w:rsidRPr="00425252">
        <w:rPr>
          <w:rFonts w:ascii="Times New Roman" w:eastAsia="Calibri" w:hAnsi="Times New Roman" w:cs="Times New Roman"/>
          <w:sz w:val="24"/>
          <w:szCs w:val="24"/>
        </w:rPr>
        <w:t>y</w:t>
      </w:r>
      <w:r w:rsidRPr="00425252">
        <w:rPr>
          <w:rFonts w:ascii="Times New Roman" w:eastAsia="Calibri" w:hAnsi="Times New Roman" w:cs="Times New Roman"/>
          <w:sz w:val="24"/>
          <w:szCs w:val="24"/>
        </w:rPr>
        <w:t>z</w:t>
      </w:r>
      <w:r w:rsidR="008A1ACD" w:rsidRPr="00425252">
        <w:rPr>
          <w:rFonts w:ascii="Times New Roman" w:eastAsia="Calibri" w:hAnsi="Times New Roman" w:cs="Times New Roman"/>
          <w:sz w:val="24"/>
          <w:szCs w:val="24"/>
        </w:rPr>
        <w:t>džiui</w:t>
      </w:r>
      <w:r w:rsidRPr="0042525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25252">
        <w:rPr>
          <w:rFonts w:ascii="Times New Roman" w:hAnsi="Times New Roman" w:cs="Times New Roman"/>
          <w:bCs/>
          <w:iCs/>
          <w:sz w:val="24"/>
          <w:szCs w:val="24"/>
        </w:rPr>
        <w:t xml:space="preserve">Įstatymo 5 str. 4 </w:t>
      </w:r>
      <w:r w:rsidR="00482914" w:rsidRPr="00425252">
        <w:rPr>
          <w:rFonts w:ascii="Times New Roman" w:hAnsi="Times New Roman" w:cs="Times New Roman"/>
          <w:bCs/>
          <w:iCs/>
          <w:sz w:val="24"/>
          <w:szCs w:val="24"/>
        </w:rPr>
        <w:t>d</w:t>
      </w:r>
      <w:r w:rsidRPr="00425252">
        <w:rPr>
          <w:rFonts w:ascii="Times New Roman" w:hAnsi="Times New Roman" w:cs="Times New Roman"/>
          <w:bCs/>
          <w:iCs/>
          <w:sz w:val="24"/>
          <w:szCs w:val="24"/>
        </w:rPr>
        <w:t xml:space="preserve">. turto arba verslo </w:t>
      </w:r>
      <w:r w:rsidR="00B42771" w:rsidRPr="00425252">
        <w:rPr>
          <w:rFonts w:ascii="Times New Roman" w:hAnsi="Times New Roman" w:cs="Times New Roman"/>
          <w:bCs/>
          <w:iCs/>
          <w:sz w:val="24"/>
          <w:szCs w:val="24"/>
        </w:rPr>
        <w:t xml:space="preserve">vertei nustatyti </w:t>
      </w:r>
      <w:r w:rsidRPr="00425252">
        <w:rPr>
          <w:rFonts w:ascii="Times New Roman" w:hAnsi="Times New Roman" w:cs="Times New Roman"/>
          <w:bCs/>
          <w:iCs/>
          <w:sz w:val="24"/>
          <w:szCs w:val="24"/>
        </w:rPr>
        <w:t>nurodo galimybę taikyti ir „</w:t>
      </w:r>
      <w:r w:rsidRPr="00425252">
        <w:rPr>
          <w:rFonts w:ascii="Times New Roman" w:hAnsi="Times New Roman" w:cs="Times New Roman"/>
          <w:sz w:val="24"/>
          <w:szCs w:val="24"/>
        </w:rPr>
        <w:t>kitus Tarptautiniuose vertinimo standartuose ir Europos vertinimo standartuose nustatytus turto arba verslo vertės nustatymo pagrindus</w:t>
      </w:r>
      <w:r w:rsidRPr="00425252">
        <w:rPr>
          <w:rFonts w:ascii="Times New Roman" w:eastAsia="Calibri" w:hAnsi="Times New Roman" w:cs="Times New Roman"/>
          <w:sz w:val="24"/>
          <w:szCs w:val="24"/>
        </w:rPr>
        <w:t>“</w:t>
      </w:r>
      <w:r w:rsidR="002E4B50" w:rsidRPr="00425252">
        <w:rPr>
          <w:rFonts w:ascii="Times New Roman" w:eastAsia="Calibri" w:hAnsi="Times New Roman" w:cs="Times New Roman"/>
          <w:sz w:val="24"/>
          <w:szCs w:val="24"/>
        </w:rPr>
        <w:t>.</w:t>
      </w:r>
      <w:r w:rsidRPr="004252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5252" w:rsidRPr="00425252">
        <w:rPr>
          <w:rFonts w:ascii="Times New Roman" w:eastAsia="Calibri" w:hAnsi="Times New Roman" w:cs="Times New Roman"/>
          <w:sz w:val="24"/>
          <w:szCs w:val="24"/>
        </w:rPr>
        <w:t xml:space="preserve">Visiems </w:t>
      </w:r>
      <w:r w:rsidR="00761722" w:rsidRPr="00425252">
        <w:rPr>
          <w:rFonts w:ascii="Times New Roman" w:eastAsia="Calibri" w:hAnsi="Times New Roman" w:cs="Times New Roman"/>
          <w:sz w:val="24"/>
          <w:szCs w:val="24"/>
        </w:rPr>
        <w:t xml:space="preserve">Metodikos II skyriuje „Vertinimo tikslai“ </w:t>
      </w:r>
      <w:r w:rsidR="00C95252" w:rsidRPr="00425252">
        <w:rPr>
          <w:rFonts w:ascii="Times New Roman" w:eastAsia="Calibri" w:hAnsi="Times New Roman" w:cs="Times New Roman"/>
          <w:sz w:val="24"/>
          <w:szCs w:val="24"/>
        </w:rPr>
        <w:t>nurodytiems ve</w:t>
      </w:r>
      <w:r w:rsidR="00483C4A" w:rsidRPr="00425252">
        <w:rPr>
          <w:rFonts w:ascii="Times New Roman" w:eastAsia="Calibri" w:hAnsi="Times New Roman" w:cs="Times New Roman"/>
          <w:sz w:val="24"/>
          <w:szCs w:val="24"/>
        </w:rPr>
        <w:t>rtinimo tikslam</w:t>
      </w:r>
      <w:r w:rsidRPr="00425252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D21CA8" w:rsidRPr="00260F77">
        <w:rPr>
          <w:rFonts w:ascii="Times New Roman" w:eastAsia="Calibri" w:hAnsi="Times New Roman" w:cs="Times New Roman"/>
          <w:sz w:val="24"/>
          <w:szCs w:val="24"/>
        </w:rPr>
        <w:t>galioja</w:t>
      </w:r>
      <w:r w:rsidRPr="00260F7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A1ACD" w:rsidRPr="00260F77">
        <w:rPr>
          <w:rFonts w:ascii="Times New Roman" w:hAnsi="Times New Roman" w:cs="Times New Roman"/>
          <w:sz w:val="24"/>
          <w:szCs w:val="24"/>
        </w:rPr>
        <w:t>„</w:t>
      </w:r>
      <w:r w:rsidRPr="00260F77">
        <w:rPr>
          <w:rFonts w:ascii="Times New Roman" w:hAnsi="Times New Roman" w:cs="Times New Roman"/>
          <w:sz w:val="24"/>
          <w:szCs w:val="24"/>
        </w:rPr>
        <w:t xml:space="preserve">Vertinant </w:t>
      </w:r>
      <w:r w:rsidR="00216276" w:rsidRPr="00260F77">
        <w:rPr>
          <w:rFonts w:ascii="Times New Roman" w:hAnsi="Times New Roman" w:cs="Times New Roman"/>
          <w:sz w:val="24"/>
          <w:szCs w:val="24"/>
        </w:rPr>
        <w:t>&lt;</w:t>
      </w:r>
      <w:r w:rsidRPr="00260F77">
        <w:rPr>
          <w:rFonts w:ascii="Times New Roman" w:hAnsi="Times New Roman" w:cs="Times New Roman"/>
          <w:sz w:val="24"/>
          <w:szCs w:val="24"/>
        </w:rPr>
        <w:t>…</w:t>
      </w:r>
      <w:r w:rsidR="00216276" w:rsidRPr="00260F77">
        <w:rPr>
          <w:rFonts w:ascii="Times New Roman" w:hAnsi="Times New Roman" w:cs="Times New Roman"/>
          <w:sz w:val="24"/>
          <w:szCs w:val="24"/>
        </w:rPr>
        <w:t>&gt;</w:t>
      </w:r>
      <w:r w:rsidRPr="00260F77">
        <w:rPr>
          <w:rFonts w:ascii="Times New Roman" w:hAnsi="Times New Roman" w:cs="Times New Roman"/>
          <w:sz w:val="24"/>
          <w:szCs w:val="24"/>
        </w:rPr>
        <w:t xml:space="preserve"> tikslu nustatoma: a) rinkos vertė, taikant individualų vertinimą; b) kitos Tarptautiniuose vertinimo standartuose, Europos vertinimo standartuose nurodytos vertės, taikant individualų vertinimą</w:t>
      </w:r>
      <w:r w:rsidR="008A1ACD" w:rsidRPr="00260F77">
        <w:rPr>
          <w:rFonts w:ascii="Times New Roman" w:hAnsi="Times New Roman" w:cs="Times New Roman"/>
          <w:sz w:val="24"/>
          <w:szCs w:val="24"/>
        </w:rPr>
        <w:t>“</w:t>
      </w:r>
      <w:r w:rsidRPr="00260F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A90BB5" w14:textId="21C93D48" w:rsidR="00696477" w:rsidRPr="00260F77" w:rsidRDefault="009E7A70" w:rsidP="00DE6FBD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F77">
        <w:rPr>
          <w:rFonts w:ascii="Times New Roman" w:eastAsia="Times New Roman" w:hAnsi="Times New Roman" w:cs="Times New Roman"/>
          <w:sz w:val="24"/>
          <w:szCs w:val="24"/>
        </w:rPr>
        <w:t>Standart</w:t>
      </w:r>
      <w:r w:rsidR="00894CB9" w:rsidRPr="00260F77">
        <w:rPr>
          <w:rFonts w:ascii="Times New Roman" w:eastAsia="Times New Roman" w:hAnsi="Times New Roman" w:cs="Times New Roman"/>
          <w:sz w:val="24"/>
          <w:szCs w:val="24"/>
        </w:rPr>
        <w:t>us</w:t>
      </w:r>
      <w:r w:rsidR="00696477" w:rsidRPr="00260F77">
        <w:rPr>
          <w:rFonts w:ascii="Times New Roman" w:eastAsia="Times New Roman" w:hAnsi="Times New Roman" w:cs="Times New Roman"/>
          <w:sz w:val="24"/>
          <w:szCs w:val="24"/>
        </w:rPr>
        <w:t xml:space="preserve"> prival</w:t>
      </w:r>
      <w:r w:rsidR="00894CB9" w:rsidRPr="00260F77">
        <w:rPr>
          <w:rFonts w:ascii="Times New Roman" w:eastAsia="Times New Roman" w:hAnsi="Times New Roman" w:cs="Times New Roman"/>
          <w:sz w:val="24"/>
          <w:szCs w:val="24"/>
        </w:rPr>
        <w:t>u</w:t>
      </w:r>
      <w:r w:rsidR="00696477" w:rsidRPr="00260F77">
        <w:rPr>
          <w:rFonts w:ascii="Times New Roman" w:eastAsia="Times New Roman" w:hAnsi="Times New Roman" w:cs="Times New Roman"/>
          <w:sz w:val="24"/>
          <w:szCs w:val="24"/>
        </w:rPr>
        <w:t xml:space="preserve"> taikyti</w:t>
      </w:r>
      <w:r w:rsidR="00696477" w:rsidRPr="00260F7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22B2D" w:rsidRPr="00260F77">
        <w:rPr>
          <w:rFonts w:ascii="Times New Roman" w:eastAsia="Calibri" w:hAnsi="Times New Roman" w:cs="Times New Roman"/>
          <w:sz w:val="24"/>
          <w:szCs w:val="24"/>
        </w:rPr>
        <w:t>Tačiau išlieka nacionalinių teisės aktų vir</w:t>
      </w:r>
      <w:r w:rsidR="00006080" w:rsidRPr="00260F77">
        <w:rPr>
          <w:rFonts w:ascii="Times New Roman" w:eastAsia="Calibri" w:hAnsi="Times New Roman" w:cs="Times New Roman"/>
          <w:sz w:val="24"/>
          <w:szCs w:val="24"/>
        </w:rPr>
        <w:t xml:space="preserve">šenybė, tai </w:t>
      </w:r>
      <w:r w:rsidR="00262ADD" w:rsidRPr="00260F77">
        <w:rPr>
          <w:rFonts w:ascii="Times New Roman" w:eastAsia="Calibri" w:hAnsi="Times New Roman" w:cs="Times New Roman"/>
          <w:sz w:val="24"/>
          <w:szCs w:val="24"/>
        </w:rPr>
        <w:t xml:space="preserve">akcentuota </w:t>
      </w:r>
      <w:r w:rsidR="00EE0A5C" w:rsidRPr="00260F77">
        <w:rPr>
          <w:rFonts w:ascii="Times New Roman" w:eastAsia="Calibri" w:hAnsi="Times New Roman" w:cs="Times New Roman"/>
          <w:sz w:val="24"/>
          <w:szCs w:val="24"/>
        </w:rPr>
        <w:t>100-ojo TVS „Vertinimo struktūriniai pagrindai“ 40.04 ir 40.05 paragrafuose</w:t>
      </w:r>
      <w:r w:rsidR="00A40F6B" w:rsidRPr="00260F77">
        <w:rPr>
          <w:rFonts w:ascii="Times New Roman" w:eastAsia="Calibri" w:hAnsi="Times New Roman" w:cs="Times New Roman"/>
          <w:sz w:val="24"/>
          <w:szCs w:val="24"/>
        </w:rPr>
        <w:t>, todėl jei teis</w:t>
      </w:r>
      <w:r w:rsidR="00295E2F" w:rsidRPr="00260F77">
        <w:rPr>
          <w:rFonts w:ascii="Times New Roman" w:eastAsia="Calibri" w:hAnsi="Times New Roman" w:cs="Times New Roman"/>
          <w:sz w:val="24"/>
          <w:szCs w:val="24"/>
        </w:rPr>
        <w:t>ės aktų</w:t>
      </w:r>
      <w:r w:rsidR="00A40F6B" w:rsidRPr="00260F77">
        <w:rPr>
          <w:rFonts w:ascii="Times New Roman" w:eastAsia="Calibri" w:hAnsi="Times New Roman" w:cs="Times New Roman"/>
          <w:sz w:val="24"/>
          <w:szCs w:val="24"/>
        </w:rPr>
        <w:t xml:space="preserve"> reikalavimai </w:t>
      </w:r>
      <w:r w:rsidR="00B54B3B" w:rsidRPr="00260F77">
        <w:rPr>
          <w:rFonts w:ascii="Times New Roman" w:eastAsia="Calibri" w:hAnsi="Times New Roman" w:cs="Times New Roman"/>
          <w:sz w:val="24"/>
          <w:szCs w:val="24"/>
        </w:rPr>
        <w:t>prieštarauja TVS</w:t>
      </w:r>
      <w:r w:rsidR="00413A9D" w:rsidRPr="00260F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5E2F" w:rsidRPr="00260F77">
        <w:rPr>
          <w:rFonts w:ascii="Times New Roman" w:eastAsia="Calibri" w:hAnsi="Times New Roman" w:cs="Times New Roman"/>
          <w:sz w:val="24"/>
          <w:szCs w:val="24"/>
        </w:rPr>
        <w:t>reikalavima</w:t>
      </w:r>
      <w:r w:rsidR="00413A9D" w:rsidRPr="00260F77">
        <w:rPr>
          <w:rFonts w:ascii="Times New Roman" w:eastAsia="Calibri" w:hAnsi="Times New Roman" w:cs="Times New Roman"/>
          <w:sz w:val="24"/>
          <w:szCs w:val="24"/>
        </w:rPr>
        <w:t>ms</w:t>
      </w:r>
      <w:r w:rsidR="00B54B3B" w:rsidRPr="00260F77">
        <w:rPr>
          <w:rFonts w:ascii="Times New Roman" w:eastAsia="Calibri" w:hAnsi="Times New Roman" w:cs="Times New Roman"/>
          <w:sz w:val="24"/>
          <w:szCs w:val="24"/>
        </w:rPr>
        <w:t>,</w:t>
      </w:r>
      <w:r w:rsidR="00413A9D" w:rsidRPr="00260F77">
        <w:rPr>
          <w:rFonts w:ascii="Times New Roman" w:eastAsia="Calibri" w:hAnsi="Times New Roman" w:cs="Times New Roman"/>
          <w:sz w:val="24"/>
          <w:szCs w:val="24"/>
        </w:rPr>
        <w:t xml:space="preserve"> turi būti vykdomi nacionalinių teisės aktų reikalavimai</w:t>
      </w:r>
      <w:r w:rsidR="00452816" w:rsidRPr="00260F7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C518B" w:rsidRPr="00260F77">
        <w:rPr>
          <w:rFonts w:ascii="Times New Roman" w:eastAsia="Calibri" w:hAnsi="Times New Roman" w:cs="Times New Roman"/>
          <w:sz w:val="24"/>
          <w:szCs w:val="24"/>
        </w:rPr>
        <w:t>Svarbu, kad</w:t>
      </w:r>
      <w:r w:rsidR="00452816" w:rsidRPr="00260F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95F" w:rsidRPr="00260F77">
        <w:rPr>
          <w:rFonts w:ascii="Times New Roman" w:eastAsia="Calibri" w:hAnsi="Times New Roman" w:cs="Times New Roman"/>
          <w:sz w:val="24"/>
          <w:szCs w:val="24"/>
        </w:rPr>
        <w:t>teisės aktų</w:t>
      </w:r>
      <w:r w:rsidR="00C874DF" w:rsidRPr="00260F77">
        <w:rPr>
          <w:rFonts w:ascii="Times New Roman" w:eastAsia="Calibri" w:hAnsi="Times New Roman" w:cs="Times New Roman"/>
          <w:sz w:val="24"/>
          <w:szCs w:val="24"/>
        </w:rPr>
        <w:t xml:space="preserve"> reikalavimai, sukeliantys</w:t>
      </w:r>
      <w:r w:rsidR="00EB495F" w:rsidRPr="00260F77">
        <w:rPr>
          <w:rFonts w:ascii="Times New Roman" w:eastAsia="Calibri" w:hAnsi="Times New Roman" w:cs="Times New Roman"/>
          <w:sz w:val="24"/>
          <w:szCs w:val="24"/>
        </w:rPr>
        <w:t xml:space="preserve"> prieštaravim</w:t>
      </w:r>
      <w:r w:rsidR="00C874DF" w:rsidRPr="00260F77">
        <w:rPr>
          <w:rFonts w:ascii="Times New Roman" w:eastAsia="Calibri" w:hAnsi="Times New Roman" w:cs="Times New Roman"/>
          <w:sz w:val="24"/>
          <w:szCs w:val="24"/>
        </w:rPr>
        <w:t>us</w:t>
      </w:r>
      <w:r w:rsidR="00EB495F" w:rsidRPr="00260F7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C76EE" w:rsidRPr="00260F77">
        <w:rPr>
          <w:rFonts w:ascii="Times New Roman" w:eastAsia="Calibri" w:hAnsi="Times New Roman" w:cs="Times New Roman"/>
          <w:sz w:val="24"/>
          <w:szCs w:val="24"/>
        </w:rPr>
        <w:t xml:space="preserve">arba </w:t>
      </w:r>
      <w:r w:rsidR="00EB495F" w:rsidRPr="00260F77">
        <w:rPr>
          <w:rFonts w:ascii="Times New Roman" w:eastAsia="Calibri" w:hAnsi="Times New Roman" w:cs="Times New Roman"/>
          <w:sz w:val="24"/>
          <w:szCs w:val="24"/>
        </w:rPr>
        <w:t>nukrypim</w:t>
      </w:r>
      <w:r w:rsidR="00C874DF" w:rsidRPr="00260F77">
        <w:rPr>
          <w:rFonts w:ascii="Times New Roman" w:eastAsia="Calibri" w:hAnsi="Times New Roman" w:cs="Times New Roman"/>
          <w:sz w:val="24"/>
          <w:szCs w:val="24"/>
        </w:rPr>
        <w:t>us</w:t>
      </w:r>
      <w:r w:rsidR="00291372" w:rsidRPr="00260F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76EE" w:rsidRPr="00260F77">
        <w:rPr>
          <w:rFonts w:ascii="Times New Roman" w:eastAsia="Calibri" w:hAnsi="Times New Roman" w:cs="Times New Roman"/>
          <w:sz w:val="24"/>
          <w:szCs w:val="24"/>
        </w:rPr>
        <w:t>(</w:t>
      </w:r>
      <w:r w:rsidR="00291372" w:rsidRPr="00260F77">
        <w:rPr>
          <w:rFonts w:ascii="Times New Roman" w:eastAsia="Calibri" w:hAnsi="Times New Roman" w:cs="Times New Roman"/>
          <w:sz w:val="24"/>
          <w:szCs w:val="24"/>
        </w:rPr>
        <w:t>angl. – „de</w:t>
      </w:r>
      <w:r w:rsidR="00AA50AC" w:rsidRPr="00260F77">
        <w:rPr>
          <w:rFonts w:ascii="Times New Roman" w:eastAsia="Calibri" w:hAnsi="Times New Roman" w:cs="Times New Roman"/>
          <w:sz w:val="24"/>
          <w:szCs w:val="24"/>
        </w:rPr>
        <w:t>viations“</w:t>
      </w:r>
      <w:r w:rsidR="000C76EE" w:rsidRPr="00260F77">
        <w:rPr>
          <w:rFonts w:ascii="Times New Roman" w:eastAsia="Calibri" w:hAnsi="Times New Roman" w:cs="Times New Roman"/>
          <w:sz w:val="24"/>
          <w:szCs w:val="24"/>
        </w:rPr>
        <w:t>)</w:t>
      </w:r>
      <w:r w:rsidR="00C874DF" w:rsidRPr="00260F77">
        <w:rPr>
          <w:rFonts w:ascii="Times New Roman" w:eastAsia="Calibri" w:hAnsi="Times New Roman" w:cs="Times New Roman"/>
          <w:sz w:val="24"/>
          <w:szCs w:val="24"/>
        </w:rPr>
        <w:t xml:space="preserve"> TVS</w:t>
      </w:r>
      <w:r w:rsidR="00AE5672" w:rsidRPr="00260F77">
        <w:rPr>
          <w:rFonts w:ascii="Times New Roman" w:eastAsia="Calibri" w:hAnsi="Times New Roman" w:cs="Times New Roman"/>
          <w:sz w:val="24"/>
          <w:szCs w:val="24"/>
        </w:rPr>
        <w:t xml:space="preserve"> reikalavimams,</w:t>
      </w:r>
      <w:r w:rsidR="000C76EE" w:rsidRPr="00260F77">
        <w:rPr>
          <w:rFonts w:ascii="Times New Roman" w:eastAsia="Calibri" w:hAnsi="Times New Roman" w:cs="Times New Roman"/>
          <w:sz w:val="24"/>
          <w:szCs w:val="24"/>
        </w:rPr>
        <w:t xml:space="preserve"> tur</w:t>
      </w:r>
      <w:r w:rsidR="00C874DF" w:rsidRPr="00260F77">
        <w:rPr>
          <w:rFonts w:ascii="Times New Roman" w:eastAsia="Calibri" w:hAnsi="Times New Roman" w:cs="Times New Roman"/>
          <w:sz w:val="24"/>
          <w:szCs w:val="24"/>
        </w:rPr>
        <w:t xml:space="preserve">ėtų </w:t>
      </w:r>
      <w:r w:rsidR="00AE5672" w:rsidRPr="00260F77">
        <w:rPr>
          <w:rFonts w:ascii="Times New Roman" w:eastAsia="Calibri" w:hAnsi="Times New Roman" w:cs="Times New Roman"/>
          <w:sz w:val="24"/>
          <w:szCs w:val="24"/>
        </w:rPr>
        <w:t>būti</w:t>
      </w:r>
      <w:r w:rsidR="000C199D" w:rsidRPr="00260F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6E08" w:rsidRPr="00260F77">
        <w:rPr>
          <w:rFonts w:ascii="Times New Roman" w:eastAsia="Calibri" w:hAnsi="Times New Roman" w:cs="Times New Roman"/>
          <w:sz w:val="24"/>
          <w:szCs w:val="24"/>
        </w:rPr>
        <w:t>atskleisti ir</w:t>
      </w:r>
      <w:r w:rsidR="00AE5672" w:rsidRPr="00260F77">
        <w:rPr>
          <w:rFonts w:ascii="Times New Roman" w:eastAsia="Calibri" w:hAnsi="Times New Roman" w:cs="Times New Roman"/>
          <w:sz w:val="24"/>
          <w:szCs w:val="24"/>
        </w:rPr>
        <w:t xml:space="preserve"> paaiškinti </w:t>
      </w:r>
      <w:r w:rsidR="007003CD" w:rsidRPr="00260F77">
        <w:rPr>
          <w:rFonts w:ascii="Times New Roman" w:eastAsia="Calibri" w:hAnsi="Times New Roman" w:cs="Times New Roman"/>
          <w:sz w:val="24"/>
          <w:szCs w:val="24"/>
        </w:rPr>
        <w:t>turto arba verslo vertinimo ataskaitoje (</w:t>
      </w:r>
      <w:r w:rsidR="007003CD" w:rsidRPr="00260F77">
        <w:rPr>
          <w:rFonts w:ascii="Times New Roman" w:eastAsia="Times New Roman" w:hAnsi="Times New Roman" w:cs="Times New Roman"/>
          <w:sz w:val="24"/>
          <w:szCs w:val="24"/>
        </w:rPr>
        <w:t>toliau – Ataskaita</w:t>
      </w:r>
      <w:r w:rsidR="007003CD" w:rsidRPr="00260F77">
        <w:rPr>
          <w:rFonts w:ascii="Times New Roman" w:eastAsia="Calibri" w:hAnsi="Times New Roman" w:cs="Times New Roman"/>
          <w:sz w:val="24"/>
          <w:szCs w:val="24"/>
        </w:rPr>
        <w:t>)</w:t>
      </w:r>
      <w:r w:rsidR="00FC6216" w:rsidRPr="00260F77">
        <w:rPr>
          <w:rFonts w:ascii="Times New Roman" w:eastAsia="Calibri" w:hAnsi="Times New Roman" w:cs="Times New Roman"/>
          <w:sz w:val="24"/>
          <w:szCs w:val="24"/>
        </w:rPr>
        <w:t>. Tokiu būdu</w:t>
      </w:r>
      <w:r w:rsidR="005351EF" w:rsidRPr="00260F7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1750B" w:rsidRPr="00260F77">
        <w:rPr>
          <w:rFonts w:ascii="Times New Roman" w:eastAsia="Calibri" w:hAnsi="Times New Roman" w:cs="Times New Roman"/>
          <w:sz w:val="24"/>
          <w:szCs w:val="24"/>
        </w:rPr>
        <w:t>įvykdžius</w:t>
      </w:r>
      <w:r w:rsidR="00696477" w:rsidRPr="00260F77">
        <w:rPr>
          <w:rFonts w:ascii="Times New Roman" w:eastAsia="Times New Roman" w:hAnsi="Times New Roman" w:cs="Times New Roman"/>
          <w:sz w:val="24"/>
          <w:szCs w:val="24"/>
        </w:rPr>
        <w:t xml:space="preserve"> nacionalinių teisės aktų </w:t>
      </w:r>
      <w:r w:rsidR="00885D17" w:rsidRPr="00260F77">
        <w:rPr>
          <w:rFonts w:ascii="Times New Roman" w:eastAsia="Times New Roman" w:hAnsi="Times New Roman" w:cs="Times New Roman"/>
          <w:sz w:val="24"/>
          <w:szCs w:val="24"/>
        </w:rPr>
        <w:t>reikalavimus</w:t>
      </w:r>
      <w:r w:rsidR="00696477" w:rsidRPr="00260F77">
        <w:rPr>
          <w:rFonts w:ascii="Times New Roman" w:eastAsia="Times New Roman" w:hAnsi="Times New Roman" w:cs="Times New Roman"/>
          <w:sz w:val="24"/>
          <w:szCs w:val="24"/>
        </w:rPr>
        <w:t>, kuri</w:t>
      </w:r>
      <w:r w:rsidR="00885D17" w:rsidRPr="00260F77">
        <w:rPr>
          <w:rFonts w:ascii="Times New Roman" w:eastAsia="Times New Roman" w:hAnsi="Times New Roman" w:cs="Times New Roman"/>
          <w:sz w:val="24"/>
          <w:szCs w:val="24"/>
        </w:rPr>
        <w:t>e</w:t>
      </w:r>
      <w:r w:rsidR="00696477" w:rsidRPr="00260F77">
        <w:rPr>
          <w:rFonts w:ascii="Times New Roman" w:eastAsia="Times New Roman" w:hAnsi="Times New Roman" w:cs="Times New Roman"/>
          <w:sz w:val="24"/>
          <w:szCs w:val="24"/>
        </w:rPr>
        <w:t xml:space="preserve"> skiriasi nuo </w:t>
      </w:r>
      <w:r w:rsidR="00885D17" w:rsidRPr="00260F77">
        <w:rPr>
          <w:rFonts w:ascii="Times New Roman" w:eastAsia="Times New Roman" w:hAnsi="Times New Roman" w:cs="Times New Roman"/>
          <w:sz w:val="24"/>
          <w:szCs w:val="24"/>
        </w:rPr>
        <w:t>TVS reikalavim</w:t>
      </w:r>
      <w:r w:rsidR="009E7716" w:rsidRPr="00260F77">
        <w:rPr>
          <w:rFonts w:ascii="Times New Roman" w:eastAsia="Times New Roman" w:hAnsi="Times New Roman" w:cs="Times New Roman"/>
          <w:sz w:val="24"/>
          <w:szCs w:val="24"/>
        </w:rPr>
        <w:t>ų</w:t>
      </w:r>
      <w:r w:rsidR="00696477" w:rsidRPr="00260F77">
        <w:rPr>
          <w:rFonts w:ascii="Times New Roman" w:eastAsia="Times New Roman" w:hAnsi="Times New Roman" w:cs="Times New Roman"/>
          <w:sz w:val="24"/>
          <w:szCs w:val="24"/>
        </w:rPr>
        <w:t>, laikoma, kad toks vertinimas yra atitinkantis TVS</w:t>
      </w:r>
      <w:r w:rsidR="00E31E1B" w:rsidRPr="00260F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B3964" w:rsidRPr="00260F77">
        <w:rPr>
          <w:rFonts w:ascii="Times New Roman" w:eastAsia="Times New Roman" w:hAnsi="Times New Roman" w:cs="Times New Roman"/>
          <w:sz w:val="24"/>
          <w:szCs w:val="24"/>
        </w:rPr>
        <w:t>“B</w:t>
      </w:r>
      <w:r w:rsidR="004B69EA" w:rsidRPr="00260F77">
        <w:rPr>
          <w:rFonts w:ascii="Times New Roman" w:eastAsia="Times New Roman" w:hAnsi="Times New Roman" w:cs="Times New Roman"/>
          <w:sz w:val="24"/>
          <w:szCs w:val="24"/>
        </w:rPr>
        <w:t xml:space="preserve">et kokie kiti nukrypimai </w:t>
      </w:r>
      <w:r w:rsidR="004B69EA" w:rsidRPr="00260F77">
        <w:rPr>
          <w:rFonts w:ascii="Times New Roman" w:eastAsia="Times New Roman" w:hAnsi="Times New Roman" w:cs="Times New Roman"/>
          <w:i/>
          <w:iCs/>
          <w:sz w:val="24"/>
          <w:szCs w:val="24"/>
        </w:rPr>
        <w:t>vertinimą</w:t>
      </w:r>
      <w:r w:rsidR="004B69EA" w:rsidRPr="00260F77">
        <w:rPr>
          <w:rFonts w:ascii="Times New Roman" w:eastAsia="Times New Roman" w:hAnsi="Times New Roman" w:cs="Times New Roman"/>
          <w:sz w:val="24"/>
          <w:szCs w:val="24"/>
        </w:rPr>
        <w:t xml:space="preserve"> darytų neatitinkančiu TVS“ (</w:t>
      </w:r>
      <w:r w:rsidR="005F5E91" w:rsidRPr="00260F77">
        <w:rPr>
          <w:rFonts w:ascii="Times New Roman" w:eastAsia="Times New Roman" w:hAnsi="Times New Roman" w:cs="Times New Roman"/>
          <w:sz w:val="24"/>
          <w:szCs w:val="24"/>
        </w:rPr>
        <w:t>100-ojo TVS 40.06 p.).</w:t>
      </w:r>
      <w:r w:rsidR="009C5CE3" w:rsidRPr="00260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FBD" w:rsidRPr="00260F77">
        <w:rPr>
          <w:rFonts w:ascii="Times New Roman" w:eastAsia="Times New Roman" w:hAnsi="Times New Roman" w:cs="Times New Roman"/>
          <w:sz w:val="24"/>
          <w:szCs w:val="24"/>
        </w:rPr>
        <w:t xml:space="preserve">Apibendrinant TVS </w:t>
      </w:r>
      <w:r w:rsidR="00D91DAE" w:rsidRPr="00260F77">
        <w:rPr>
          <w:rFonts w:ascii="Times New Roman" w:eastAsia="Times New Roman" w:hAnsi="Times New Roman" w:cs="Times New Roman"/>
          <w:sz w:val="24"/>
          <w:szCs w:val="24"/>
        </w:rPr>
        <w:t>nurodymu</w:t>
      </w:r>
      <w:r w:rsidR="00533A58" w:rsidRPr="00260F7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1DAE" w:rsidRPr="00260F77">
        <w:rPr>
          <w:rFonts w:ascii="Times New Roman" w:eastAsia="Times New Roman" w:hAnsi="Times New Roman" w:cs="Times New Roman"/>
          <w:sz w:val="24"/>
          <w:szCs w:val="24"/>
        </w:rPr>
        <w:t xml:space="preserve"> galima teigti, kad</w:t>
      </w:r>
      <w:r w:rsidR="00DE6FBD" w:rsidRPr="00260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245D" w:rsidRPr="00260F77">
        <w:rPr>
          <w:rFonts w:ascii="Times New Roman" w:eastAsia="Times New Roman" w:hAnsi="Times New Roman" w:cs="Times New Roman"/>
          <w:sz w:val="24"/>
          <w:szCs w:val="24"/>
        </w:rPr>
        <w:t>nuo TVS galima</w:t>
      </w:r>
      <w:r w:rsidR="00DE6FBD" w:rsidRPr="00260F77">
        <w:rPr>
          <w:rFonts w:ascii="Times New Roman" w:eastAsia="Times New Roman" w:hAnsi="Times New Roman" w:cs="Times New Roman"/>
          <w:sz w:val="24"/>
          <w:szCs w:val="24"/>
        </w:rPr>
        <w:t xml:space="preserve"> nukrypti tiek, kad būtų įvykdyti nacionalini</w:t>
      </w:r>
      <w:r w:rsidR="0065608E" w:rsidRPr="00260F77">
        <w:rPr>
          <w:rFonts w:ascii="Times New Roman" w:eastAsia="Times New Roman" w:hAnsi="Times New Roman" w:cs="Times New Roman"/>
          <w:sz w:val="24"/>
          <w:szCs w:val="24"/>
        </w:rPr>
        <w:t>ų</w:t>
      </w:r>
      <w:r w:rsidR="00DE6FBD" w:rsidRPr="00260F77">
        <w:rPr>
          <w:rFonts w:ascii="Times New Roman" w:eastAsia="Times New Roman" w:hAnsi="Times New Roman" w:cs="Times New Roman"/>
          <w:sz w:val="24"/>
          <w:szCs w:val="24"/>
        </w:rPr>
        <w:t xml:space="preserve"> teisės </w:t>
      </w:r>
      <w:r w:rsidR="007F245D" w:rsidRPr="00260F77">
        <w:rPr>
          <w:rFonts w:ascii="Times New Roman" w:eastAsia="Times New Roman" w:hAnsi="Times New Roman" w:cs="Times New Roman"/>
          <w:sz w:val="24"/>
          <w:szCs w:val="24"/>
        </w:rPr>
        <w:t xml:space="preserve">aktų </w:t>
      </w:r>
      <w:r w:rsidR="00DE6FBD" w:rsidRPr="00260F77">
        <w:rPr>
          <w:rFonts w:ascii="Times New Roman" w:eastAsia="Times New Roman" w:hAnsi="Times New Roman" w:cs="Times New Roman"/>
          <w:sz w:val="24"/>
          <w:szCs w:val="24"/>
        </w:rPr>
        <w:t xml:space="preserve">reikalavimai, </w:t>
      </w:r>
      <w:r w:rsidR="00AD3119" w:rsidRPr="00260F77">
        <w:rPr>
          <w:rFonts w:ascii="Times New Roman" w:eastAsia="Times New Roman" w:hAnsi="Times New Roman" w:cs="Times New Roman"/>
          <w:sz w:val="24"/>
          <w:szCs w:val="24"/>
        </w:rPr>
        <w:t xml:space="preserve">nors ir </w:t>
      </w:r>
      <w:r w:rsidR="00DE6FBD" w:rsidRPr="00260F77">
        <w:rPr>
          <w:rFonts w:ascii="Times New Roman" w:eastAsia="Times New Roman" w:hAnsi="Times New Roman" w:cs="Times New Roman"/>
          <w:sz w:val="24"/>
          <w:szCs w:val="24"/>
        </w:rPr>
        <w:t xml:space="preserve">prieštaraujantys </w:t>
      </w:r>
      <w:r w:rsidR="002260B1" w:rsidRPr="00260F77">
        <w:rPr>
          <w:rFonts w:ascii="Times New Roman" w:eastAsia="Times New Roman" w:hAnsi="Times New Roman" w:cs="Times New Roman"/>
          <w:sz w:val="24"/>
          <w:szCs w:val="24"/>
        </w:rPr>
        <w:t>TVS</w:t>
      </w:r>
      <w:r w:rsidR="00DE6FBD" w:rsidRPr="00260F77">
        <w:rPr>
          <w:rFonts w:ascii="Times New Roman" w:eastAsia="Times New Roman" w:hAnsi="Times New Roman" w:cs="Times New Roman"/>
          <w:sz w:val="24"/>
          <w:szCs w:val="24"/>
        </w:rPr>
        <w:t xml:space="preserve"> nuostatoms.</w:t>
      </w:r>
    </w:p>
    <w:p w14:paraId="674F6F46" w14:textId="77777777" w:rsidR="00596B50" w:rsidRPr="00260F77" w:rsidRDefault="0075469C" w:rsidP="005C3327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F77">
        <w:rPr>
          <w:rFonts w:ascii="Times New Roman" w:eastAsia="Times New Roman" w:hAnsi="Times New Roman" w:cs="Times New Roman"/>
          <w:sz w:val="24"/>
          <w:szCs w:val="24"/>
        </w:rPr>
        <w:t>EVS</w:t>
      </w:r>
      <w:r w:rsidR="00B5469F" w:rsidRPr="00260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0EE2" w:rsidRPr="00260F77">
        <w:rPr>
          <w:rFonts w:ascii="Times New Roman" w:eastAsia="Times New Roman" w:hAnsi="Times New Roman" w:cs="Times New Roman"/>
          <w:sz w:val="24"/>
          <w:szCs w:val="24"/>
        </w:rPr>
        <w:t xml:space="preserve">įpareigoja </w:t>
      </w:r>
      <w:r w:rsidR="006E248F" w:rsidRPr="00260F77">
        <w:rPr>
          <w:rFonts w:ascii="Times New Roman" w:eastAsia="Times New Roman" w:hAnsi="Times New Roman" w:cs="Times New Roman"/>
          <w:sz w:val="24"/>
          <w:szCs w:val="24"/>
        </w:rPr>
        <w:t xml:space="preserve">Vertintoją Ataskaitoje </w:t>
      </w:r>
      <w:r w:rsidR="00A4557C" w:rsidRPr="00260F77">
        <w:rPr>
          <w:rFonts w:ascii="Times New Roman" w:eastAsia="Times New Roman" w:hAnsi="Times New Roman" w:cs="Times New Roman"/>
          <w:sz w:val="24"/>
          <w:szCs w:val="24"/>
        </w:rPr>
        <w:t>nurody</w:t>
      </w:r>
      <w:r w:rsidR="006E248F" w:rsidRPr="00260F77">
        <w:rPr>
          <w:rFonts w:ascii="Times New Roman" w:eastAsia="Times New Roman" w:hAnsi="Times New Roman" w:cs="Times New Roman"/>
          <w:sz w:val="24"/>
          <w:szCs w:val="24"/>
        </w:rPr>
        <w:t>ti</w:t>
      </w:r>
      <w:r w:rsidR="00981802" w:rsidRPr="00260F77">
        <w:rPr>
          <w:rFonts w:ascii="Times New Roman" w:eastAsia="Times New Roman" w:hAnsi="Times New Roman" w:cs="Times New Roman"/>
          <w:sz w:val="24"/>
          <w:szCs w:val="24"/>
        </w:rPr>
        <w:t xml:space="preserve"> bet kokio</w:t>
      </w:r>
      <w:r w:rsidR="00AE163B" w:rsidRPr="00260F77">
        <w:rPr>
          <w:rFonts w:ascii="Times New Roman" w:eastAsia="Times New Roman" w:hAnsi="Times New Roman" w:cs="Times New Roman"/>
          <w:sz w:val="24"/>
          <w:szCs w:val="24"/>
        </w:rPr>
        <w:t xml:space="preserve"> nukrypimo </w:t>
      </w:r>
      <w:r w:rsidR="0067090C" w:rsidRPr="00260F77">
        <w:rPr>
          <w:rFonts w:ascii="Times New Roman" w:eastAsia="Times New Roman" w:hAnsi="Times New Roman" w:cs="Times New Roman"/>
          <w:sz w:val="24"/>
          <w:szCs w:val="24"/>
        </w:rPr>
        <w:t>nuo šių standartų mastą ir priežastis arba paai</w:t>
      </w:r>
      <w:r w:rsidR="005F72C7" w:rsidRPr="00260F77">
        <w:rPr>
          <w:rFonts w:ascii="Times New Roman" w:eastAsia="Times New Roman" w:hAnsi="Times New Roman" w:cs="Times New Roman"/>
          <w:sz w:val="24"/>
          <w:szCs w:val="24"/>
        </w:rPr>
        <w:t>škinti, kodėl buvo praleista kokia nors svarbi vertinimo proceso dalis</w:t>
      </w:r>
      <w:r w:rsidR="00B14390" w:rsidRPr="00260F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0FD5" w:rsidRPr="00260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464" w:rsidRPr="00260F77">
        <w:rPr>
          <w:rFonts w:ascii="Times New Roman" w:eastAsia="Times New Roman" w:hAnsi="Times New Roman" w:cs="Times New Roman"/>
          <w:sz w:val="24"/>
          <w:szCs w:val="24"/>
        </w:rPr>
        <w:t>Tai liečia ir n</w:t>
      </w:r>
      <w:r w:rsidR="00380FD5" w:rsidRPr="00260F77">
        <w:rPr>
          <w:rFonts w:ascii="Times New Roman" w:eastAsia="Times New Roman" w:hAnsi="Times New Roman" w:cs="Times New Roman"/>
          <w:sz w:val="24"/>
          <w:szCs w:val="24"/>
        </w:rPr>
        <w:t>ukrypim</w:t>
      </w:r>
      <w:r w:rsidR="00E60F55" w:rsidRPr="00260F77">
        <w:rPr>
          <w:rFonts w:ascii="Times New Roman" w:eastAsia="Times New Roman" w:hAnsi="Times New Roman" w:cs="Times New Roman"/>
          <w:sz w:val="24"/>
          <w:szCs w:val="24"/>
        </w:rPr>
        <w:t>ą (-us)</w:t>
      </w:r>
      <w:r w:rsidR="00380FD5" w:rsidRPr="00260F77">
        <w:rPr>
          <w:rFonts w:ascii="Times New Roman" w:eastAsia="Times New Roman" w:hAnsi="Times New Roman" w:cs="Times New Roman"/>
          <w:sz w:val="24"/>
          <w:szCs w:val="24"/>
        </w:rPr>
        <w:t xml:space="preserve"> nuo EVS reikalavimų dėl nacionalinės teisės reikalavimų</w:t>
      </w:r>
      <w:r w:rsidR="00AB5452" w:rsidRPr="00260F77">
        <w:rPr>
          <w:rFonts w:ascii="Times New Roman" w:eastAsia="Times New Roman" w:hAnsi="Times New Roman" w:cs="Times New Roman"/>
          <w:sz w:val="24"/>
          <w:szCs w:val="24"/>
        </w:rPr>
        <w:t xml:space="preserve"> ir galioja </w:t>
      </w:r>
      <w:r w:rsidR="006C2B3F" w:rsidRPr="00260F77">
        <w:rPr>
          <w:rFonts w:ascii="Times New Roman" w:eastAsia="Times New Roman" w:hAnsi="Times New Roman" w:cs="Times New Roman"/>
          <w:sz w:val="24"/>
          <w:szCs w:val="24"/>
        </w:rPr>
        <w:t>įpareigojimas</w:t>
      </w:r>
      <w:r w:rsidR="00792C9A" w:rsidRPr="00260F77">
        <w:rPr>
          <w:rFonts w:ascii="Times New Roman" w:eastAsia="Times New Roman" w:hAnsi="Times New Roman" w:cs="Times New Roman"/>
          <w:sz w:val="24"/>
          <w:szCs w:val="24"/>
        </w:rPr>
        <w:t xml:space="preserve"> Vertintoją</w:t>
      </w:r>
      <w:r w:rsidR="003F72DB" w:rsidRPr="00260F77">
        <w:rPr>
          <w:rFonts w:ascii="Times New Roman" w:eastAsia="Times New Roman" w:hAnsi="Times New Roman" w:cs="Times New Roman"/>
          <w:sz w:val="24"/>
          <w:szCs w:val="24"/>
        </w:rPr>
        <w:t xml:space="preserve"> juos</w:t>
      </w:r>
      <w:r w:rsidR="006C2B3F" w:rsidRPr="00260F77">
        <w:rPr>
          <w:rFonts w:ascii="Times New Roman" w:eastAsia="Times New Roman" w:hAnsi="Times New Roman" w:cs="Times New Roman"/>
          <w:sz w:val="24"/>
          <w:szCs w:val="24"/>
        </w:rPr>
        <w:t xml:space="preserve"> nurodyti</w:t>
      </w:r>
      <w:r w:rsidR="003F72DB" w:rsidRPr="00260F77">
        <w:rPr>
          <w:rFonts w:ascii="Times New Roman" w:eastAsia="Times New Roman" w:hAnsi="Times New Roman" w:cs="Times New Roman"/>
          <w:sz w:val="24"/>
          <w:szCs w:val="24"/>
        </w:rPr>
        <w:t xml:space="preserve"> arba paaiškinti</w:t>
      </w:r>
      <w:r w:rsidR="00A50AD7" w:rsidRPr="00260F77">
        <w:rPr>
          <w:rFonts w:ascii="Times New Roman" w:eastAsia="Times New Roman" w:hAnsi="Times New Roman" w:cs="Times New Roman"/>
          <w:sz w:val="24"/>
          <w:szCs w:val="24"/>
        </w:rPr>
        <w:t xml:space="preserve"> Ataskaitoje</w:t>
      </w:r>
      <w:r w:rsidR="00DC79BE" w:rsidRPr="00260F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336FEB3" w14:textId="170BB90A" w:rsidR="0075469C" w:rsidRPr="00260F77" w:rsidRDefault="00310C94" w:rsidP="005C3327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F77">
        <w:rPr>
          <w:rFonts w:ascii="Times New Roman" w:eastAsia="Times New Roman" w:hAnsi="Times New Roman" w:cs="Times New Roman"/>
          <w:sz w:val="24"/>
          <w:szCs w:val="24"/>
        </w:rPr>
        <w:t xml:space="preserve">Taip pat EVS </w:t>
      </w:r>
      <w:r w:rsidR="00371A94" w:rsidRPr="00260F77">
        <w:rPr>
          <w:rFonts w:ascii="Times New Roman" w:eastAsia="Times New Roman" w:hAnsi="Times New Roman" w:cs="Times New Roman"/>
          <w:sz w:val="24"/>
          <w:szCs w:val="24"/>
        </w:rPr>
        <w:t>įpareigoja Vertintoją</w:t>
      </w:r>
      <w:r w:rsidR="00E5037F" w:rsidRPr="00260F77">
        <w:rPr>
          <w:rFonts w:ascii="Times New Roman" w:eastAsia="Times New Roman" w:hAnsi="Times New Roman" w:cs="Times New Roman"/>
          <w:sz w:val="24"/>
          <w:szCs w:val="24"/>
        </w:rPr>
        <w:t xml:space="preserve"> su užsakovu vertinimo </w:t>
      </w:r>
      <w:r w:rsidR="00596B50" w:rsidRPr="00260F77">
        <w:rPr>
          <w:rFonts w:ascii="Times New Roman" w:eastAsia="Times New Roman" w:hAnsi="Times New Roman" w:cs="Times New Roman"/>
          <w:sz w:val="24"/>
          <w:szCs w:val="24"/>
        </w:rPr>
        <w:t xml:space="preserve">užduotyje </w:t>
      </w:r>
      <w:r w:rsidR="00E5037F" w:rsidRPr="00260F77">
        <w:rPr>
          <w:rFonts w:ascii="Times New Roman" w:eastAsia="Times New Roman" w:hAnsi="Times New Roman" w:cs="Times New Roman"/>
          <w:sz w:val="24"/>
          <w:szCs w:val="24"/>
        </w:rPr>
        <w:t>(</w:t>
      </w:r>
      <w:r w:rsidR="00596B50" w:rsidRPr="00260F77">
        <w:rPr>
          <w:rFonts w:ascii="Times New Roman" w:eastAsia="Times New Roman" w:hAnsi="Times New Roman" w:cs="Times New Roman"/>
          <w:sz w:val="24"/>
          <w:szCs w:val="24"/>
        </w:rPr>
        <w:t>susitarime</w:t>
      </w:r>
      <w:r w:rsidR="00E5037F" w:rsidRPr="00260F77">
        <w:rPr>
          <w:rFonts w:ascii="Times New Roman" w:eastAsia="Times New Roman" w:hAnsi="Times New Roman" w:cs="Times New Roman"/>
          <w:sz w:val="24"/>
          <w:szCs w:val="24"/>
        </w:rPr>
        <w:t>)</w:t>
      </w:r>
      <w:r w:rsidR="00036F11" w:rsidRPr="00260F77">
        <w:rPr>
          <w:rFonts w:ascii="Times New Roman" w:eastAsia="Times New Roman" w:hAnsi="Times New Roman" w:cs="Times New Roman"/>
          <w:sz w:val="24"/>
          <w:szCs w:val="24"/>
        </w:rPr>
        <w:t xml:space="preserve"> suderinti nukrypimus nuo </w:t>
      </w:r>
      <w:r w:rsidR="00F453CE" w:rsidRPr="00260F77">
        <w:rPr>
          <w:rFonts w:ascii="Times New Roman" w:eastAsia="Times New Roman" w:hAnsi="Times New Roman" w:cs="Times New Roman"/>
          <w:sz w:val="24"/>
          <w:szCs w:val="24"/>
        </w:rPr>
        <w:t xml:space="preserve">EVS ir </w:t>
      </w:r>
      <w:r w:rsidR="002E5C97" w:rsidRPr="00260F77"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="0011112A" w:rsidRPr="00260F77">
        <w:rPr>
          <w:rFonts w:ascii="Times New Roman" w:eastAsia="Times New Roman" w:hAnsi="Times New Roman" w:cs="Times New Roman"/>
          <w:sz w:val="24"/>
          <w:szCs w:val="24"/>
        </w:rPr>
        <w:t>vertinamas bus atliekamas laikantis EVS reikalavimų (4-ojo EVS 3.7 p.)</w:t>
      </w:r>
      <w:r w:rsidR="00CB4373" w:rsidRPr="00260F77">
        <w:rPr>
          <w:rFonts w:ascii="Times New Roman" w:eastAsia="Times New Roman" w:hAnsi="Times New Roman" w:cs="Times New Roman"/>
          <w:sz w:val="24"/>
          <w:szCs w:val="24"/>
        </w:rPr>
        <w:t xml:space="preserve">. To paties standarto 5.6 p. </w:t>
      </w:r>
      <w:r w:rsidR="00174D70" w:rsidRPr="00260F77">
        <w:rPr>
          <w:rFonts w:ascii="Times New Roman" w:eastAsia="Times New Roman" w:hAnsi="Times New Roman" w:cs="Times New Roman"/>
          <w:sz w:val="24"/>
          <w:szCs w:val="24"/>
        </w:rPr>
        <w:t>įtvirtintas reikalavimas Vertintojui</w:t>
      </w:r>
      <w:r w:rsidR="00371A94" w:rsidRPr="00260F77">
        <w:rPr>
          <w:rFonts w:ascii="Times New Roman" w:eastAsia="Times New Roman" w:hAnsi="Times New Roman" w:cs="Times New Roman"/>
          <w:sz w:val="24"/>
          <w:szCs w:val="24"/>
        </w:rPr>
        <w:t xml:space="preserve"> prieš pradedant </w:t>
      </w:r>
      <w:r w:rsidR="00FB1A8A" w:rsidRPr="00260F77">
        <w:rPr>
          <w:rFonts w:ascii="Times New Roman" w:eastAsia="Times New Roman" w:hAnsi="Times New Roman" w:cs="Times New Roman"/>
          <w:sz w:val="24"/>
          <w:szCs w:val="24"/>
        </w:rPr>
        <w:t>vykdyti užduotį pranešti užsakovui</w:t>
      </w:r>
      <w:r w:rsidR="00721368" w:rsidRPr="00260F77">
        <w:rPr>
          <w:rFonts w:ascii="Times New Roman" w:eastAsia="Times New Roman" w:hAnsi="Times New Roman" w:cs="Times New Roman"/>
          <w:sz w:val="24"/>
          <w:szCs w:val="24"/>
        </w:rPr>
        <w:t>, kad</w:t>
      </w:r>
      <w:r w:rsidR="00177E4F" w:rsidRPr="00260F77">
        <w:rPr>
          <w:rFonts w:ascii="Times New Roman" w:eastAsia="Times New Roman" w:hAnsi="Times New Roman" w:cs="Times New Roman"/>
          <w:sz w:val="24"/>
          <w:szCs w:val="24"/>
        </w:rPr>
        <w:t xml:space="preserve"> nukrypimai nuo EVS dėl</w:t>
      </w:r>
      <w:r w:rsidR="00721368" w:rsidRPr="00260F77">
        <w:rPr>
          <w:rFonts w:ascii="Times New Roman" w:eastAsia="Times New Roman" w:hAnsi="Times New Roman" w:cs="Times New Roman"/>
          <w:sz w:val="24"/>
          <w:szCs w:val="24"/>
        </w:rPr>
        <w:t xml:space="preserve"> jo nurodym</w:t>
      </w:r>
      <w:r w:rsidR="00177E4F" w:rsidRPr="00260F77">
        <w:rPr>
          <w:rFonts w:ascii="Times New Roman" w:eastAsia="Times New Roman" w:hAnsi="Times New Roman" w:cs="Times New Roman"/>
          <w:sz w:val="24"/>
          <w:szCs w:val="24"/>
        </w:rPr>
        <w:t>ų</w:t>
      </w:r>
      <w:r w:rsidR="0080475A" w:rsidRPr="00260F77">
        <w:rPr>
          <w:rFonts w:ascii="Times New Roman" w:eastAsia="Times New Roman" w:hAnsi="Times New Roman" w:cs="Times New Roman"/>
          <w:sz w:val="24"/>
          <w:szCs w:val="24"/>
        </w:rPr>
        <w:t xml:space="preserve"> „...atlikti vertinimą</w:t>
      </w:r>
      <w:r w:rsidR="005C3327" w:rsidRPr="00260F77">
        <w:rPr>
          <w:rFonts w:asciiTheme="majorBidi" w:hAnsiTheme="majorBidi" w:cstheme="majorBidi"/>
        </w:rPr>
        <w:t xml:space="preserve"> </w:t>
      </w:r>
      <w:r w:rsidR="005C3327" w:rsidRPr="00260F77">
        <w:rPr>
          <w:rFonts w:ascii="Times New Roman" w:eastAsia="Times New Roman" w:hAnsi="Times New Roman" w:cs="Times New Roman"/>
          <w:sz w:val="24"/>
          <w:szCs w:val="24"/>
        </w:rPr>
        <w:t>vadovaujantis šių standartų nuostatų neatitinkančiais arba joms prieštaraujančiais pagrindais</w:t>
      </w:r>
      <w:r w:rsidR="00177E4F" w:rsidRPr="00260F77">
        <w:rPr>
          <w:rFonts w:ascii="Times New Roman" w:eastAsia="Times New Roman" w:hAnsi="Times New Roman" w:cs="Times New Roman"/>
          <w:sz w:val="24"/>
          <w:szCs w:val="24"/>
        </w:rPr>
        <w:t xml:space="preserve">...“ </w:t>
      </w:r>
      <w:r w:rsidR="00C3044B" w:rsidRPr="00260F77">
        <w:rPr>
          <w:rFonts w:ascii="Times New Roman" w:eastAsia="Times New Roman" w:hAnsi="Times New Roman" w:cs="Times New Roman"/>
          <w:sz w:val="24"/>
          <w:szCs w:val="24"/>
        </w:rPr>
        <w:t>bus nurodyti Ataskaitoje</w:t>
      </w:r>
      <w:r w:rsidR="000870D8" w:rsidRPr="00260F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97F2C9A" w14:textId="24B0507E" w:rsidR="00776D74" w:rsidRPr="00260F77" w:rsidRDefault="00696477" w:rsidP="00D6181F">
      <w:pPr>
        <w:widowControl w:val="0"/>
        <w:suppressAutoHyphens/>
        <w:spacing w:after="0"/>
        <w:ind w:firstLine="709"/>
        <w:jc w:val="both"/>
      </w:pPr>
      <w:r w:rsidRPr="00260F77">
        <w:rPr>
          <w:rFonts w:ascii="Times New Roman" w:eastAsia="Calibri" w:hAnsi="Times New Roman" w:cs="Times New Roman"/>
          <w:sz w:val="24"/>
          <w:szCs w:val="24"/>
        </w:rPr>
        <w:t>Rengiant Ataskaitas gali pasitaikyti atvejų, kai keliuose šaltiniuose pateikiamos skirtingos tų pačių dalykų sąvokos. Ne visos sąvokos turi tapačius, nacionaliniuose ir tarptautiniuose teisės aktuose taikomus</w:t>
      </w:r>
      <w:r w:rsidR="0040086B" w:rsidRPr="00260F77">
        <w:rPr>
          <w:rFonts w:ascii="Times New Roman" w:eastAsia="Calibri" w:hAnsi="Times New Roman" w:cs="Times New Roman"/>
          <w:sz w:val="24"/>
          <w:szCs w:val="24"/>
        </w:rPr>
        <w:t>,</w:t>
      </w:r>
      <w:r w:rsidRPr="00260F77">
        <w:rPr>
          <w:rFonts w:ascii="Times New Roman" w:eastAsia="Calibri" w:hAnsi="Times New Roman" w:cs="Times New Roman"/>
          <w:sz w:val="24"/>
          <w:szCs w:val="24"/>
        </w:rPr>
        <w:t xml:space="preserve"> apibrėžimus. </w:t>
      </w:r>
      <w:r w:rsidR="00226FE1" w:rsidRPr="00260F77">
        <w:rPr>
          <w:rFonts w:ascii="Times New Roman" w:eastAsia="Calibri" w:hAnsi="Times New Roman" w:cs="Times New Roman"/>
          <w:sz w:val="24"/>
          <w:szCs w:val="24"/>
        </w:rPr>
        <w:t>Pavyzd</w:t>
      </w:r>
      <w:r w:rsidR="005219A3" w:rsidRPr="00260F77">
        <w:rPr>
          <w:rFonts w:ascii="Times New Roman" w:eastAsia="Calibri" w:hAnsi="Times New Roman" w:cs="Times New Roman"/>
          <w:sz w:val="24"/>
          <w:szCs w:val="24"/>
        </w:rPr>
        <w:t>žiui,</w:t>
      </w:r>
      <w:r w:rsidR="00226FE1" w:rsidRPr="00260F77">
        <w:rPr>
          <w:rFonts w:ascii="Times New Roman" w:eastAsia="Calibri" w:hAnsi="Times New Roman" w:cs="Times New Roman"/>
          <w:sz w:val="24"/>
          <w:szCs w:val="24"/>
        </w:rPr>
        <w:t xml:space="preserve"> Įstatymo 6 str. 2 </w:t>
      </w:r>
      <w:r w:rsidR="00923E55" w:rsidRPr="00260F77">
        <w:rPr>
          <w:rFonts w:ascii="Times New Roman" w:eastAsia="Calibri" w:hAnsi="Times New Roman" w:cs="Times New Roman"/>
          <w:sz w:val="24"/>
          <w:szCs w:val="24"/>
        </w:rPr>
        <w:t>d.</w:t>
      </w:r>
      <w:r w:rsidR="00226FE1" w:rsidRPr="00260F77">
        <w:rPr>
          <w:rFonts w:ascii="Times New Roman" w:eastAsia="Calibri" w:hAnsi="Times New Roman" w:cs="Times New Roman"/>
          <w:sz w:val="24"/>
          <w:szCs w:val="24"/>
        </w:rPr>
        <w:t xml:space="preserve"> nurodoma, kad „</w:t>
      </w:r>
      <w:r w:rsidR="007D793C" w:rsidRPr="00260F77">
        <w:rPr>
          <w:rFonts w:ascii="Times New Roman" w:eastAsia="Calibri" w:hAnsi="Times New Roman" w:cs="Times New Roman"/>
          <w:sz w:val="24"/>
          <w:szCs w:val="24"/>
        </w:rPr>
        <w:t>&lt;</w:t>
      </w:r>
      <w:r w:rsidR="00226FE1" w:rsidRPr="00260F77">
        <w:rPr>
          <w:rFonts w:ascii="Times New Roman" w:eastAsia="Calibri" w:hAnsi="Times New Roman" w:cs="Times New Roman"/>
          <w:sz w:val="24"/>
          <w:szCs w:val="24"/>
        </w:rPr>
        <w:t>...</w:t>
      </w:r>
      <w:r w:rsidR="007D793C" w:rsidRPr="00260F77">
        <w:rPr>
          <w:rFonts w:ascii="Times New Roman" w:eastAsia="Calibri" w:hAnsi="Times New Roman" w:cs="Times New Roman"/>
          <w:sz w:val="24"/>
          <w:szCs w:val="24"/>
        </w:rPr>
        <w:t>&gt;</w:t>
      </w:r>
      <w:r w:rsidR="0026462C" w:rsidRPr="00260F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6FE1" w:rsidRPr="00260F77">
        <w:rPr>
          <w:rFonts w:ascii="Times New Roman" w:eastAsia="Calibri" w:hAnsi="Times New Roman" w:cs="Times New Roman"/>
          <w:iCs/>
          <w:sz w:val="24"/>
          <w:szCs w:val="24"/>
        </w:rPr>
        <w:t>metodų</w:t>
      </w:r>
      <w:r w:rsidR="00226FE1" w:rsidRPr="00260F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462C" w:rsidRPr="00260F77">
        <w:rPr>
          <w:rFonts w:ascii="Times New Roman" w:eastAsia="Calibri" w:hAnsi="Times New Roman" w:cs="Times New Roman"/>
          <w:sz w:val="24"/>
          <w:szCs w:val="24"/>
        </w:rPr>
        <w:t>&lt;</w:t>
      </w:r>
      <w:r w:rsidR="00226FE1" w:rsidRPr="00260F77">
        <w:rPr>
          <w:rFonts w:ascii="Times New Roman" w:eastAsia="Calibri" w:hAnsi="Times New Roman" w:cs="Times New Roman"/>
          <w:sz w:val="24"/>
          <w:szCs w:val="24"/>
        </w:rPr>
        <w:t>...</w:t>
      </w:r>
      <w:r w:rsidR="001F4408" w:rsidRPr="00260F77">
        <w:rPr>
          <w:rFonts w:ascii="Times New Roman" w:eastAsia="Calibri" w:hAnsi="Times New Roman" w:cs="Times New Roman"/>
          <w:sz w:val="24"/>
          <w:szCs w:val="24"/>
        </w:rPr>
        <w:t>&gt;</w:t>
      </w:r>
      <w:r w:rsidR="00226FE1" w:rsidRPr="00260F77">
        <w:rPr>
          <w:rFonts w:ascii="Times New Roman" w:eastAsia="Calibri" w:hAnsi="Times New Roman" w:cs="Times New Roman"/>
          <w:sz w:val="24"/>
          <w:szCs w:val="24"/>
        </w:rPr>
        <w:t xml:space="preserve"> taikymo Lietuvos Respublikoje procedūros ir tvarka išsamiai nurodytos Turto ir verslo vertinimo metodikoje“. Metodikos IV skyriuje</w:t>
      </w:r>
      <w:r w:rsidR="00214FEC" w:rsidRPr="00260F77">
        <w:rPr>
          <w:rFonts w:ascii="Times New Roman" w:eastAsia="Calibri" w:hAnsi="Times New Roman" w:cs="Times New Roman"/>
          <w:sz w:val="24"/>
          <w:szCs w:val="24"/>
        </w:rPr>
        <w:t xml:space="preserve"> „Turto ve</w:t>
      </w:r>
      <w:r w:rsidR="002D61A9" w:rsidRPr="00260F77">
        <w:rPr>
          <w:rFonts w:ascii="Times New Roman" w:eastAsia="Calibri" w:hAnsi="Times New Roman" w:cs="Times New Roman"/>
          <w:sz w:val="24"/>
          <w:szCs w:val="24"/>
        </w:rPr>
        <w:t>rtinimo metodai ir jų taikymas“</w:t>
      </w:r>
      <w:r w:rsidR="00226FE1" w:rsidRPr="00260F77">
        <w:rPr>
          <w:rFonts w:ascii="Times New Roman" w:eastAsia="Calibri" w:hAnsi="Times New Roman" w:cs="Times New Roman"/>
          <w:sz w:val="24"/>
          <w:szCs w:val="24"/>
        </w:rPr>
        <w:t xml:space="preserve"> pateikti </w:t>
      </w:r>
      <w:r w:rsidR="00226FE1" w:rsidRPr="00260F77">
        <w:rPr>
          <w:rFonts w:ascii="Times New Roman" w:eastAsia="Calibri" w:hAnsi="Times New Roman" w:cs="Times New Roman"/>
          <w:i/>
          <w:sz w:val="24"/>
          <w:szCs w:val="24"/>
        </w:rPr>
        <w:t xml:space="preserve">turto </w:t>
      </w:r>
      <w:r w:rsidR="00776D74" w:rsidRPr="00260F77">
        <w:rPr>
          <w:rFonts w:ascii="Times New Roman" w:eastAsia="Calibri" w:hAnsi="Times New Roman" w:cs="Times New Roman"/>
          <w:i/>
          <w:sz w:val="24"/>
          <w:szCs w:val="24"/>
        </w:rPr>
        <w:t>vertinimo metodai</w:t>
      </w:r>
      <w:r w:rsidR="00776D74" w:rsidRPr="00260F77"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r w:rsidR="00776D74" w:rsidRPr="00260F77">
        <w:rPr>
          <w:rFonts w:ascii="Times New Roman" w:eastAsia="Calibri" w:hAnsi="Times New Roman" w:cs="Times New Roman"/>
          <w:i/>
          <w:sz w:val="24"/>
          <w:szCs w:val="24"/>
        </w:rPr>
        <w:t>skaičiavimo būdai</w:t>
      </w:r>
      <w:r w:rsidR="00776D74" w:rsidRPr="00260F77">
        <w:rPr>
          <w:rFonts w:ascii="Times New Roman" w:eastAsia="Calibri" w:hAnsi="Times New Roman" w:cs="Times New Roman"/>
          <w:sz w:val="24"/>
          <w:szCs w:val="24"/>
        </w:rPr>
        <w:t>.</w:t>
      </w:r>
      <w:r w:rsidR="00226FE1" w:rsidRPr="00260F77">
        <w:t xml:space="preserve"> </w:t>
      </w:r>
      <w:r w:rsidR="004B4450" w:rsidRPr="00260F77">
        <w:rPr>
          <w:rFonts w:ascii="Times New Roman" w:hAnsi="Times New Roman" w:cs="Times New Roman"/>
          <w:sz w:val="24"/>
          <w:szCs w:val="24"/>
        </w:rPr>
        <w:t>O</w:t>
      </w:r>
      <w:r w:rsidR="00776D74" w:rsidRPr="00260F77">
        <w:rPr>
          <w:rFonts w:ascii="Times New Roman" w:hAnsi="Times New Roman" w:cs="Times New Roman"/>
          <w:sz w:val="24"/>
          <w:szCs w:val="24"/>
        </w:rPr>
        <w:t xml:space="preserve"> </w:t>
      </w:r>
      <w:r w:rsidR="002D1E91" w:rsidRPr="00260F77">
        <w:rPr>
          <w:rFonts w:ascii="Times New Roman" w:hAnsi="Times New Roman" w:cs="Times New Roman"/>
          <w:sz w:val="24"/>
          <w:szCs w:val="24"/>
        </w:rPr>
        <w:t>TVS t</w:t>
      </w:r>
      <w:r w:rsidR="00357403" w:rsidRPr="00260F77">
        <w:rPr>
          <w:rFonts w:ascii="Times New Roman" w:hAnsi="Times New Roman" w:cs="Times New Roman"/>
          <w:sz w:val="24"/>
          <w:szCs w:val="24"/>
        </w:rPr>
        <w:t>ų</w:t>
      </w:r>
      <w:r w:rsidR="002D1E91" w:rsidRPr="00260F77">
        <w:rPr>
          <w:rFonts w:ascii="Times New Roman" w:hAnsi="Times New Roman" w:cs="Times New Roman"/>
          <w:sz w:val="24"/>
          <w:szCs w:val="24"/>
        </w:rPr>
        <w:t xml:space="preserve"> pa</w:t>
      </w:r>
      <w:r w:rsidR="00357403" w:rsidRPr="00260F77">
        <w:rPr>
          <w:rFonts w:ascii="Times New Roman" w:hAnsi="Times New Roman" w:cs="Times New Roman"/>
          <w:sz w:val="24"/>
          <w:szCs w:val="24"/>
        </w:rPr>
        <w:t>čių</w:t>
      </w:r>
      <w:r w:rsidR="002D1E91" w:rsidRPr="00260F77">
        <w:rPr>
          <w:rFonts w:ascii="Times New Roman" w:hAnsi="Times New Roman" w:cs="Times New Roman"/>
          <w:sz w:val="24"/>
          <w:szCs w:val="24"/>
        </w:rPr>
        <w:t xml:space="preserve"> </w:t>
      </w:r>
      <w:r w:rsidR="00BA53CA" w:rsidRPr="00260F77">
        <w:rPr>
          <w:rFonts w:ascii="Times New Roman" w:hAnsi="Times New Roman" w:cs="Times New Roman"/>
          <w:sz w:val="24"/>
          <w:szCs w:val="24"/>
        </w:rPr>
        <w:t>dalyk</w:t>
      </w:r>
      <w:r w:rsidR="00357403" w:rsidRPr="00260F77">
        <w:rPr>
          <w:rFonts w:ascii="Times New Roman" w:hAnsi="Times New Roman" w:cs="Times New Roman"/>
          <w:sz w:val="24"/>
          <w:szCs w:val="24"/>
        </w:rPr>
        <w:t>ų</w:t>
      </w:r>
      <w:r w:rsidR="002D1E91" w:rsidRPr="00260F77">
        <w:rPr>
          <w:rFonts w:ascii="Times New Roman" w:hAnsi="Times New Roman" w:cs="Times New Roman"/>
          <w:sz w:val="24"/>
          <w:szCs w:val="24"/>
        </w:rPr>
        <w:t xml:space="preserve"> </w:t>
      </w:r>
      <w:r w:rsidR="00243432" w:rsidRPr="00260F77">
        <w:rPr>
          <w:rFonts w:ascii="Times New Roman" w:hAnsi="Times New Roman" w:cs="Times New Roman"/>
          <w:sz w:val="24"/>
          <w:szCs w:val="24"/>
        </w:rPr>
        <w:t>sąvok</w:t>
      </w:r>
      <w:r w:rsidR="008134B6" w:rsidRPr="00260F77">
        <w:rPr>
          <w:rFonts w:ascii="Times New Roman" w:hAnsi="Times New Roman" w:cs="Times New Roman"/>
          <w:sz w:val="24"/>
          <w:szCs w:val="24"/>
        </w:rPr>
        <w:t>o</w:t>
      </w:r>
      <w:r w:rsidR="00243432" w:rsidRPr="00260F77">
        <w:rPr>
          <w:rFonts w:ascii="Times New Roman" w:hAnsi="Times New Roman" w:cs="Times New Roman"/>
          <w:sz w:val="24"/>
          <w:szCs w:val="24"/>
        </w:rPr>
        <w:t>s</w:t>
      </w:r>
      <w:r w:rsidR="00357403" w:rsidRPr="00260F77">
        <w:rPr>
          <w:rFonts w:ascii="Times New Roman" w:hAnsi="Times New Roman" w:cs="Times New Roman"/>
          <w:sz w:val="24"/>
          <w:szCs w:val="24"/>
        </w:rPr>
        <w:t xml:space="preserve"> </w:t>
      </w:r>
      <w:r w:rsidR="00C01922" w:rsidRPr="00260F77">
        <w:rPr>
          <w:rFonts w:ascii="Times New Roman" w:hAnsi="Times New Roman" w:cs="Times New Roman"/>
          <w:sz w:val="24"/>
          <w:szCs w:val="24"/>
        </w:rPr>
        <w:t>yra</w:t>
      </w:r>
      <w:r w:rsidR="00243432" w:rsidRPr="00260F77">
        <w:rPr>
          <w:rFonts w:ascii="Times New Roman" w:hAnsi="Times New Roman" w:cs="Times New Roman"/>
          <w:sz w:val="24"/>
          <w:szCs w:val="24"/>
        </w:rPr>
        <w:t xml:space="preserve"> </w:t>
      </w:r>
      <w:r w:rsidR="00243432" w:rsidRPr="00260F77">
        <w:rPr>
          <w:rFonts w:ascii="Times New Roman" w:hAnsi="Times New Roman" w:cs="Times New Roman"/>
          <w:i/>
          <w:sz w:val="24"/>
          <w:szCs w:val="24"/>
        </w:rPr>
        <w:t>vertinimo požiūris ir metodas</w:t>
      </w:r>
      <w:r w:rsidR="00243432" w:rsidRPr="00260F77">
        <w:rPr>
          <w:rFonts w:ascii="Times New Roman" w:hAnsi="Times New Roman" w:cs="Times New Roman"/>
          <w:sz w:val="24"/>
          <w:szCs w:val="24"/>
        </w:rPr>
        <w:t xml:space="preserve"> (</w:t>
      </w:r>
      <w:r w:rsidR="002D1E91" w:rsidRPr="00260F77">
        <w:rPr>
          <w:rFonts w:ascii="Times New Roman" w:hAnsi="Times New Roman" w:cs="Times New Roman"/>
          <w:sz w:val="24"/>
          <w:szCs w:val="24"/>
        </w:rPr>
        <w:t>105-</w:t>
      </w:r>
      <w:r w:rsidR="004F2BE4" w:rsidRPr="00260F77">
        <w:rPr>
          <w:rFonts w:ascii="Times New Roman" w:hAnsi="Times New Roman" w:cs="Times New Roman"/>
          <w:sz w:val="24"/>
          <w:szCs w:val="24"/>
        </w:rPr>
        <w:t>a</w:t>
      </w:r>
      <w:r w:rsidR="00243432" w:rsidRPr="00260F77">
        <w:rPr>
          <w:rFonts w:ascii="Times New Roman" w:hAnsi="Times New Roman" w:cs="Times New Roman"/>
          <w:sz w:val="24"/>
          <w:szCs w:val="24"/>
        </w:rPr>
        <w:t>sis</w:t>
      </w:r>
      <w:r w:rsidR="002D1E91" w:rsidRPr="00260F77">
        <w:rPr>
          <w:rFonts w:ascii="Times New Roman" w:hAnsi="Times New Roman" w:cs="Times New Roman"/>
          <w:sz w:val="24"/>
          <w:szCs w:val="24"/>
        </w:rPr>
        <w:t xml:space="preserve"> TVS</w:t>
      </w:r>
      <w:r w:rsidR="004F2BE4" w:rsidRPr="00260F77">
        <w:rPr>
          <w:rFonts w:ascii="Times New Roman" w:hAnsi="Times New Roman" w:cs="Times New Roman"/>
          <w:sz w:val="24"/>
          <w:szCs w:val="24"/>
        </w:rPr>
        <w:t xml:space="preserve"> „Vertinimo požiūriai ir metodai“</w:t>
      </w:r>
      <w:r w:rsidR="00243432" w:rsidRPr="00260F77">
        <w:rPr>
          <w:rFonts w:ascii="Times New Roman" w:hAnsi="Times New Roman" w:cs="Times New Roman"/>
          <w:sz w:val="24"/>
          <w:szCs w:val="24"/>
        </w:rPr>
        <w:t xml:space="preserve">). Vertintojas Ataskaitoje privalo </w:t>
      </w:r>
      <w:r w:rsidR="00E94698" w:rsidRPr="00260F77">
        <w:rPr>
          <w:rFonts w:ascii="Times New Roman" w:hAnsi="Times New Roman" w:cs="Times New Roman"/>
          <w:sz w:val="24"/>
          <w:szCs w:val="24"/>
        </w:rPr>
        <w:t xml:space="preserve">vartoti </w:t>
      </w:r>
      <w:r w:rsidR="00243432" w:rsidRPr="00260F77">
        <w:rPr>
          <w:rFonts w:ascii="Times New Roman" w:hAnsi="Times New Roman" w:cs="Times New Roman"/>
          <w:sz w:val="24"/>
          <w:szCs w:val="24"/>
        </w:rPr>
        <w:t xml:space="preserve">LR teisės aktuose </w:t>
      </w:r>
      <w:r w:rsidR="00E94698" w:rsidRPr="00260F77">
        <w:rPr>
          <w:rFonts w:ascii="Times New Roman" w:hAnsi="Times New Roman" w:cs="Times New Roman"/>
          <w:sz w:val="24"/>
          <w:szCs w:val="24"/>
        </w:rPr>
        <w:t xml:space="preserve">vartojamas </w:t>
      </w:r>
      <w:r w:rsidR="00243432" w:rsidRPr="00260F77">
        <w:rPr>
          <w:rFonts w:ascii="Times New Roman" w:hAnsi="Times New Roman" w:cs="Times New Roman"/>
          <w:sz w:val="24"/>
          <w:szCs w:val="24"/>
        </w:rPr>
        <w:t>sąvokas, išskyrus, kai cituojami tarptautiniai dokumentai.</w:t>
      </w:r>
    </w:p>
    <w:p w14:paraId="52A90BB7" w14:textId="35F8306B" w:rsidR="00696477" w:rsidRPr="00260F77" w:rsidRDefault="00696477" w:rsidP="00696477">
      <w:pPr>
        <w:spacing w:after="0" w:line="264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0F77">
        <w:rPr>
          <w:rFonts w:ascii="Times New Roman" w:hAnsi="Times New Roman" w:cs="Times New Roman"/>
          <w:sz w:val="24"/>
          <w:szCs w:val="24"/>
        </w:rPr>
        <w:lastRenderedPageBreak/>
        <w:t>Vertintoja</w:t>
      </w:r>
      <w:r w:rsidR="00B7266B" w:rsidRPr="00260F77">
        <w:rPr>
          <w:rFonts w:ascii="Times New Roman" w:hAnsi="Times New Roman" w:cs="Times New Roman"/>
          <w:sz w:val="24"/>
          <w:szCs w:val="24"/>
        </w:rPr>
        <w:t>s</w:t>
      </w:r>
      <w:r w:rsidRPr="00260F77">
        <w:rPr>
          <w:rFonts w:ascii="Times New Roman" w:hAnsi="Times New Roman" w:cs="Times New Roman"/>
          <w:sz w:val="24"/>
          <w:szCs w:val="24"/>
        </w:rPr>
        <w:t>, atlikdam</w:t>
      </w:r>
      <w:r w:rsidR="008D59E4" w:rsidRPr="00260F77">
        <w:rPr>
          <w:rFonts w:ascii="Times New Roman" w:hAnsi="Times New Roman" w:cs="Times New Roman"/>
          <w:sz w:val="24"/>
          <w:szCs w:val="24"/>
        </w:rPr>
        <w:t>as</w:t>
      </w:r>
      <w:r w:rsidRPr="00260F77">
        <w:rPr>
          <w:rFonts w:ascii="Times New Roman" w:hAnsi="Times New Roman" w:cs="Times New Roman"/>
          <w:sz w:val="24"/>
          <w:szCs w:val="24"/>
        </w:rPr>
        <w:t xml:space="preserve"> vertinimą, taiko TVS, EVS ir nacionalinėje teisėje nurodytus turto vertinimo metodus </w:t>
      </w:r>
      <w:r w:rsidR="002A6AFA" w:rsidRPr="00260F77">
        <w:rPr>
          <w:rFonts w:ascii="Times New Roman" w:hAnsi="Times New Roman" w:cs="Times New Roman"/>
          <w:sz w:val="24"/>
          <w:szCs w:val="24"/>
        </w:rPr>
        <w:t>ir būdus</w:t>
      </w:r>
      <w:r w:rsidRPr="00260F77">
        <w:rPr>
          <w:rFonts w:ascii="Times New Roman" w:hAnsi="Times New Roman" w:cs="Times New Roman"/>
          <w:sz w:val="24"/>
          <w:szCs w:val="24"/>
        </w:rPr>
        <w:t xml:space="preserve"> </w:t>
      </w:r>
      <w:r w:rsidR="004A3393" w:rsidRPr="00260F77">
        <w:rPr>
          <w:rFonts w:ascii="Times New Roman" w:hAnsi="Times New Roman" w:cs="Times New Roman"/>
          <w:sz w:val="24"/>
          <w:szCs w:val="24"/>
        </w:rPr>
        <w:t xml:space="preserve">ir </w:t>
      </w:r>
      <w:r w:rsidRPr="00260F77">
        <w:rPr>
          <w:rFonts w:ascii="Times New Roman" w:hAnsi="Times New Roman" w:cs="Times New Roman"/>
          <w:sz w:val="24"/>
          <w:szCs w:val="24"/>
        </w:rPr>
        <w:t>vadovaujasi min</w:t>
      </w:r>
      <w:r w:rsidR="007E41FD" w:rsidRPr="00260F77">
        <w:rPr>
          <w:rFonts w:ascii="Times New Roman" w:hAnsi="Times New Roman" w:cs="Times New Roman"/>
          <w:sz w:val="24"/>
          <w:szCs w:val="24"/>
        </w:rPr>
        <w:t>ėt</w:t>
      </w:r>
      <w:r w:rsidRPr="00260F77">
        <w:rPr>
          <w:rFonts w:ascii="Times New Roman" w:hAnsi="Times New Roman" w:cs="Times New Roman"/>
          <w:sz w:val="24"/>
          <w:szCs w:val="24"/>
        </w:rPr>
        <w:t xml:space="preserve">uose dokumentuose aprašytomis vertinimo procedūromis </w:t>
      </w:r>
      <w:r w:rsidR="00CD36B8" w:rsidRPr="00260F77">
        <w:rPr>
          <w:rFonts w:ascii="Times New Roman" w:hAnsi="Times New Roman" w:cs="Times New Roman"/>
          <w:sz w:val="24"/>
          <w:szCs w:val="24"/>
        </w:rPr>
        <w:t xml:space="preserve">ir </w:t>
      </w:r>
      <w:r w:rsidRPr="00260F77">
        <w:rPr>
          <w:rFonts w:ascii="Times New Roman" w:hAnsi="Times New Roman" w:cs="Times New Roman"/>
          <w:sz w:val="24"/>
          <w:szCs w:val="24"/>
        </w:rPr>
        <w:t xml:space="preserve">tvarka. </w:t>
      </w:r>
      <w:r w:rsidR="008D59E4" w:rsidRPr="00260F77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260F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ertinimas atliekamas ne tik vadovaujantis teisės aktais, bet ir atsižvelgiant į rinkos </w:t>
      </w:r>
      <w:r w:rsidR="00F96B38" w:rsidRPr="00260F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 </w:t>
      </w:r>
      <w:r w:rsidRPr="00260F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ekonomikos sąlygų stebėjimų, tyrimų išvadas ir rezultatus. </w:t>
      </w:r>
      <w:r w:rsidR="00264466" w:rsidRPr="00260F77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Pr="00260F77">
        <w:rPr>
          <w:rFonts w:ascii="Times New Roman" w:hAnsi="Times New Roman" w:cs="Times New Roman"/>
          <w:sz w:val="24"/>
          <w:szCs w:val="24"/>
          <w:shd w:val="clear" w:color="auto" w:fill="FFFFFF"/>
        </w:rPr>
        <w:t>ertinimui atlikti reikalingos specialios kompleksinės žinios, daugiausia susijusios su ekonomikos, finansų sritimis.</w:t>
      </w:r>
      <w:r w:rsidRPr="00260F77">
        <w:rPr>
          <w:rFonts w:ascii="Times New Roman" w:hAnsi="Times New Roman" w:cs="Times New Roman"/>
          <w:sz w:val="24"/>
          <w:szCs w:val="24"/>
        </w:rPr>
        <w:t xml:space="preserve"> Taigi, įvertinus TVS ir EVS turinį, atsižvelgiant į šių dokumentų galią </w:t>
      </w:r>
      <w:r w:rsidR="00F96B38" w:rsidRPr="00260F77">
        <w:rPr>
          <w:rFonts w:ascii="Times New Roman" w:hAnsi="Times New Roman" w:cs="Times New Roman"/>
          <w:sz w:val="24"/>
          <w:szCs w:val="24"/>
        </w:rPr>
        <w:t xml:space="preserve">ir </w:t>
      </w:r>
      <w:r w:rsidRPr="00260F77">
        <w:rPr>
          <w:rFonts w:ascii="Times New Roman" w:hAnsi="Times New Roman" w:cs="Times New Roman"/>
          <w:sz w:val="24"/>
          <w:szCs w:val="24"/>
        </w:rPr>
        <w:t xml:space="preserve">santykį su nacionaliniais teisės aktais, konstatuotina, kad juose įtvirtintos nuostatos koreliuoja tarpusavyje ir vertinimo metodų taikymo procedūrų aspektu vienos kitą papildo. </w:t>
      </w:r>
    </w:p>
    <w:p w14:paraId="52A90BBA" w14:textId="77777777" w:rsidR="00696477" w:rsidRPr="00260F77" w:rsidRDefault="00696477" w:rsidP="002412AC">
      <w:pPr>
        <w:pStyle w:val="Default"/>
        <w:pBdr>
          <w:bottom w:val="single" w:sz="4" w:space="1" w:color="auto"/>
        </w:pBdr>
        <w:rPr>
          <w:rFonts w:ascii="Times New Roman" w:eastAsia="Calibri" w:hAnsi="Times New Roman" w:cs="Times New Roman"/>
          <w:color w:val="auto"/>
        </w:rPr>
      </w:pPr>
    </w:p>
    <w:p w14:paraId="2F3612A4" w14:textId="77777777" w:rsidR="00632980" w:rsidRPr="00260F77" w:rsidRDefault="00632980" w:rsidP="002412AC">
      <w:pPr>
        <w:pStyle w:val="Default"/>
        <w:pBdr>
          <w:bottom w:val="single" w:sz="4" w:space="1" w:color="auto"/>
        </w:pBdr>
        <w:rPr>
          <w:rFonts w:ascii="Times New Roman" w:eastAsia="Calibri" w:hAnsi="Times New Roman" w:cs="Times New Roman"/>
          <w:color w:val="auto"/>
        </w:rPr>
      </w:pPr>
    </w:p>
    <w:p w14:paraId="52A90BBC" w14:textId="77777777" w:rsidR="00696477" w:rsidRPr="00260F77" w:rsidRDefault="00696477" w:rsidP="00696477">
      <w:pPr>
        <w:spacing w:after="0" w:line="264" w:lineRule="auto"/>
        <w:jc w:val="both"/>
        <w:rPr>
          <w:rFonts w:ascii="Times New Roman" w:eastAsia="Calibri" w:hAnsi="Times New Roman" w:cs="Times New Roman"/>
          <w:b/>
        </w:rPr>
      </w:pPr>
    </w:p>
    <w:p w14:paraId="52A90BBD" w14:textId="77777777" w:rsidR="00696477" w:rsidRPr="00260F77" w:rsidRDefault="00696477" w:rsidP="00696477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F77">
        <w:rPr>
          <w:rFonts w:ascii="Times New Roman" w:hAnsi="Times New Roman" w:cs="Times New Roman"/>
          <w:b/>
          <w:sz w:val="24"/>
          <w:szCs w:val="24"/>
        </w:rPr>
        <w:t>Šaltiniai:</w:t>
      </w:r>
    </w:p>
    <w:p w14:paraId="52A90BBE" w14:textId="765A5465" w:rsidR="00696477" w:rsidRPr="00260F77" w:rsidRDefault="00A0576F" w:rsidP="00A0576F">
      <w:pPr>
        <w:pStyle w:val="ListParagraph"/>
        <w:numPr>
          <w:ilvl w:val="0"/>
          <w:numId w:val="2"/>
        </w:numPr>
        <w:spacing w:after="0" w:line="264" w:lineRule="auto"/>
        <w:jc w:val="both"/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</w:pPr>
      <w:r w:rsidRPr="00260F77">
        <w:rPr>
          <w:rFonts w:ascii="Times New Roman" w:eastAsia="Times New Roman" w:hAnsi="Times New Roman"/>
          <w:sz w:val="24"/>
          <w:szCs w:val="24"/>
        </w:rPr>
        <w:t xml:space="preserve">LR </w:t>
      </w:r>
      <w:r w:rsidR="00362409" w:rsidRPr="00260F77">
        <w:rPr>
          <w:rFonts w:ascii="Times New Roman" w:eastAsia="Times New Roman" w:hAnsi="Times New Roman"/>
          <w:sz w:val="24"/>
          <w:szCs w:val="24"/>
        </w:rPr>
        <w:t xml:space="preserve">turto </w:t>
      </w:r>
      <w:r w:rsidRPr="00260F77">
        <w:rPr>
          <w:rFonts w:ascii="Times New Roman" w:eastAsia="Times New Roman" w:hAnsi="Times New Roman"/>
          <w:sz w:val="24"/>
          <w:szCs w:val="24"/>
        </w:rPr>
        <w:t>ir verslo vertinimo pagrindų įstatym</w:t>
      </w:r>
      <w:r w:rsidR="00642FEC" w:rsidRPr="00260F77">
        <w:rPr>
          <w:rFonts w:ascii="Times New Roman" w:eastAsia="Times New Roman" w:hAnsi="Times New Roman"/>
          <w:sz w:val="24"/>
          <w:szCs w:val="24"/>
        </w:rPr>
        <w:t xml:space="preserve">o </w:t>
      </w:r>
      <w:r w:rsidR="00642FEC" w:rsidRPr="00260F77">
        <w:rPr>
          <w:rFonts w:ascii="Times New Roman" w:hAnsi="Times New Roman"/>
          <w:sz w:val="24"/>
          <w:szCs w:val="24"/>
        </w:rPr>
        <w:t xml:space="preserve">5 str. 4 </w:t>
      </w:r>
      <w:r w:rsidR="00481E92" w:rsidRPr="00260F77">
        <w:rPr>
          <w:rFonts w:ascii="Times New Roman" w:hAnsi="Times New Roman"/>
          <w:sz w:val="24"/>
          <w:szCs w:val="24"/>
        </w:rPr>
        <w:t>d</w:t>
      </w:r>
      <w:r w:rsidR="00642FEC" w:rsidRPr="00260F77">
        <w:rPr>
          <w:rFonts w:ascii="Times New Roman" w:hAnsi="Times New Roman"/>
          <w:sz w:val="24"/>
          <w:szCs w:val="24"/>
        </w:rPr>
        <w:t>.</w:t>
      </w:r>
      <w:r w:rsidR="00696477" w:rsidRPr="00260F77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>;</w:t>
      </w:r>
    </w:p>
    <w:p w14:paraId="52A90BBF" w14:textId="7F60DC96" w:rsidR="00696477" w:rsidRPr="00260F77" w:rsidRDefault="00696477" w:rsidP="00696477">
      <w:pPr>
        <w:pStyle w:val="ListParagraph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260F77">
        <w:rPr>
          <w:rFonts w:ascii="Times New Roman" w:hAnsi="Times New Roman"/>
          <w:sz w:val="24"/>
          <w:szCs w:val="24"/>
          <w:lang w:eastAsia="en-US"/>
        </w:rPr>
        <w:t>Turto ir verslo vertinimo metodik</w:t>
      </w:r>
      <w:r w:rsidR="00C57509" w:rsidRPr="00260F77">
        <w:rPr>
          <w:rFonts w:ascii="Times New Roman" w:hAnsi="Times New Roman"/>
          <w:sz w:val="24"/>
          <w:szCs w:val="24"/>
          <w:lang w:eastAsia="en-US"/>
        </w:rPr>
        <w:t xml:space="preserve">os </w:t>
      </w:r>
      <w:r w:rsidR="00C57509" w:rsidRPr="00260F77">
        <w:rPr>
          <w:rFonts w:ascii="Times New Roman" w:hAnsi="Times New Roman"/>
          <w:sz w:val="24"/>
          <w:szCs w:val="24"/>
        </w:rPr>
        <w:t>12.3 p., 14.3 p., 16.3 p., 21.2 p., 26.2 p.</w:t>
      </w:r>
      <w:r w:rsidRPr="00260F77">
        <w:rPr>
          <w:rFonts w:ascii="Times New Roman" w:hAnsi="Times New Roman"/>
          <w:sz w:val="24"/>
          <w:szCs w:val="24"/>
          <w:lang w:eastAsia="en-US"/>
        </w:rPr>
        <w:t>;</w:t>
      </w:r>
    </w:p>
    <w:p w14:paraId="52A90BC0" w14:textId="4080B5F7" w:rsidR="00696477" w:rsidRPr="00260F77" w:rsidRDefault="00A617B2" w:rsidP="00696477">
      <w:pPr>
        <w:pStyle w:val="ListParagraph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260F77">
        <w:rPr>
          <w:rFonts w:ascii="Times New Roman" w:hAnsi="Times New Roman"/>
          <w:sz w:val="24"/>
          <w:szCs w:val="24"/>
        </w:rPr>
        <w:t>Nuo 2025 m. sausio 31 d. galiojančių Tarptautinių vertinimo standartų</w:t>
      </w:r>
      <w:r w:rsidR="00712725" w:rsidRPr="00260F77">
        <w:rPr>
          <w:rFonts w:ascii="Times New Roman" w:hAnsi="Times New Roman"/>
          <w:sz w:val="24"/>
          <w:szCs w:val="24"/>
        </w:rPr>
        <w:t xml:space="preserve">: </w:t>
      </w:r>
    </w:p>
    <w:p w14:paraId="207FD11F" w14:textId="6CD883DD" w:rsidR="00712725" w:rsidRPr="00260F77" w:rsidRDefault="000D3E99" w:rsidP="00712725">
      <w:pPr>
        <w:pStyle w:val="ListParagraph"/>
        <w:numPr>
          <w:ilvl w:val="1"/>
          <w:numId w:val="2"/>
        </w:numPr>
        <w:spacing w:after="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100-ojo </w:t>
      </w:r>
      <w:r w:rsidR="00712725" w:rsidRPr="00260F77">
        <w:rPr>
          <w:rFonts w:ascii="Times New Roman" w:hAnsi="Times New Roman"/>
          <w:sz w:val="24"/>
          <w:szCs w:val="24"/>
        </w:rPr>
        <w:t xml:space="preserve">TVS </w:t>
      </w:r>
      <w:r w:rsidR="00862BED">
        <w:rPr>
          <w:rFonts w:ascii="Times New Roman" w:hAnsi="Times New Roman"/>
          <w:sz w:val="24"/>
          <w:szCs w:val="24"/>
        </w:rPr>
        <w:t xml:space="preserve">„Vertinimo </w:t>
      </w:r>
      <w:r w:rsidR="00712725" w:rsidRPr="00260F77">
        <w:rPr>
          <w:rFonts w:ascii="Times New Roman" w:hAnsi="Times New Roman"/>
          <w:sz w:val="24"/>
          <w:szCs w:val="24"/>
        </w:rPr>
        <w:t>struktūriniai pagrindai</w:t>
      </w:r>
      <w:r w:rsidR="00862BED">
        <w:rPr>
          <w:rFonts w:ascii="Times New Roman" w:hAnsi="Times New Roman"/>
          <w:sz w:val="24"/>
          <w:szCs w:val="24"/>
        </w:rPr>
        <w:t>“</w:t>
      </w:r>
      <w:r w:rsidR="00712725" w:rsidRPr="00260F77">
        <w:rPr>
          <w:rFonts w:ascii="Times New Roman" w:hAnsi="Times New Roman"/>
          <w:sz w:val="24"/>
          <w:szCs w:val="24"/>
        </w:rPr>
        <w:t xml:space="preserve"> </w:t>
      </w:r>
      <w:r w:rsidR="00D35DF2">
        <w:rPr>
          <w:rFonts w:ascii="Times New Roman" w:hAnsi="Times New Roman"/>
          <w:sz w:val="24"/>
          <w:szCs w:val="24"/>
        </w:rPr>
        <w:t>40</w:t>
      </w:r>
      <w:r w:rsidR="00712725" w:rsidRPr="00260F77">
        <w:rPr>
          <w:rFonts w:ascii="Times New Roman" w:hAnsi="Times New Roman"/>
          <w:sz w:val="24"/>
          <w:szCs w:val="24"/>
        </w:rPr>
        <w:t>.</w:t>
      </w:r>
      <w:r w:rsidR="00D35DF2">
        <w:rPr>
          <w:rFonts w:ascii="Times New Roman" w:hAnsi="Times New Roman"/>
          <w:sz w:val="24"/>
          <w:szCs w:val="24"/>
        </w:rPr>
        <w:t>4</w:t>
      </w:r>
      <w:r w:rsidR="00712725" w:rsidRPr="00260F77">
        <w:rPr>
          <w:rFonts w:ascii="Times New Roman" w:hAnsi="Times New Roman"/>
          <w:sz w:val="24"/>
          <w:szCs w:val="24"/>
        </w:rPr>
        <w:t>–</w:t>
      </w:r>
      <w:r w:rsidR="00D35DF2">
        <w:rPr>
          <w:rFonts w:ascii="Times New Roman" w:hAnsi="Times New Roman"/>
          <w:sz w:val="24"/>
          <w:szCs w:val="24"/>
        </w:rPr>
        <w:t>4</w:t>
      </w:r>
      <w:r w:rsidR="00712725" w:rsidRPr="00260F77">
        <w:rPr>
          <w:rFonts w:ascii="Times New Roman" w:hAnsi="Times New Roman"/>
          <w:sz w:val="24"/>
          <w:szCs w:val="24"/>
        </w:rPr>
        <w:t>0.</w:t>
      </w:r>
      <w:r w:rsidR="00D35DF2">
        <w:rPr>
          <w:rFonts w:ascii="Times New Roman" w:hAnsi="Times New Roman"/>
          <w:sz w:val="24"/>
          <w:szCs w:val="24"/>
        </w:rPr>
        <w:t>6</w:t>
      </w:r>
      <w:r w:rsidR="00712725" w:rsidRPr="00260F77">
        <w:rPr>
          <w:rFonts w:ascii="Times New Roman" w:hAnsi="Times New Roman"/>
          <w:sz w:val="24"/>
          <w:szCs w:val="24"/>
        </w:rPr>
        <w:t xml:space="preserve"> p.</w:t>
      </w:r>
    </w:p>
    <w:p w14:paraId="52A90BC1" w14:textId="58EC140F" w:rsidR="00696477" w:rsidRPr="00260F77" w:rsidRDefault="007238DA" w:rsidP="00696477">
      <w:pPr>
        <w:pStyle w:val="ListParagraph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260F77">
        <w:rPr>
          <w:rFonts w:ascii="Times New Roman" w:hAnsi="Times New Roman"/>
          <w:sz w:val="24"/>
          <w:szCs w:val="24"/>
        </w:rPr>
        <w:t xml:space="preserve">Nuo 2025 m. sausio 1 d. galiojančių </w:t>
      </w:r>
      <w:r w:rsidR="00696477" w:rsidRPr="00260F77">
        <w:rPr>
          <w:rFonts w:ascii="Times New Roman" w:hAnsi="Times New Roman"/>
          <w:sz w:val="24"/>
          <w:szCs w:val="24"/>
        </w:rPr>
        <w:t>Europos vertinimo standart</w:t>
      </w:r>
      <w:r w:rsidR="00712725" w:rsidRPr="00260F77">
        <w:rPr>
          <w:rFonts w:ascii="Times New Roman" w:hAnsi="Times New Roman"/>
          <w:sz w:val="24"/>
          <w:szCs w:val="24"/>
        </w:rPr>
        <w:t xml:space="preserve">ų: </w:t>
      </w:r>
    </w:p>
    <w:p w14:paraId="6E8E9CF6" w14:textId="6F22D9CE" w:rsidR="000E3C24" w:rsidRPr="00260F77" w:rsidRDefault="000E3C24" w:rsidP="000E3C24">
      <w:pPr>
        <w:pStyle w:val="ListParagraph"/>
        <w:numPr>
          <w:ilvl w:val="1"/>
          <w:numId w:val="2"/>
        </w:numPr>
        <w:spacing w:after="0" w:line="264" w:lineRule="auto"/>
        <w:rPr>
          <w:rFonts w:ascii="Times New Roman" w:hAnsi="Times New Roman"/>
          <w:sz w:val="24"/>
          <w:szCs w:val="24"/>
        </w:rPr>
      </w:pPr>
      <w:r w:rsidRPr="00260F77">
        <w:rPr>
          <w:rFonts w:ascii="Times New Roman" w:hAnsi="Times New Roman"/>
          <w:sz w:val="24"/>
          <w:szCs w:val="24"/>
        </w:rPr>
        <w:t>4-ojo EVS</w:t>
      </w:r>
      <w:r w:rsidR="007238DA" w:rsidRPr="00260F77">
        <w:rPr>
          <w:rFonts w:ascii="Times New Roman" w:hAnsi="Times New Roman"/>
          <w:sz w:val="24"/>
          <w:szCs w:val="24"/>
        </w:rPr>
        <w:t xml:space="preserve"> „</w:t>
      </w:r>
      <w:r w:rsidR="00EE5367" w:rsidRPr="00260F77">
        <w:rPr>
          <w:rFonts w:ascii="Times New Roman" w:hAnsi="Times New Roman"/>
          <w:sz w:val="24"/>
          <w:szCs w:val="24"/>
        </w:rPr>
        <w:t>Vertinimo procesas“</w:t>
      </w:r>
      <w:r w:rsidRPr="00260F77">
        <w:rPr>
          <w:rFonts w:ascii="Times New Roman" w:hAnsi="Times New Roman"/>
          <w:sz w:val="24"/>
          <w:szCs w:val="24"/>
        </w:rPr>
        <w:t xml:space="preserve"> </w:t>
      </w:r>
      <w:r w:rsidRPr="00260F77">
        <w:rPr>
          <w:rFonts w:ascii="Times New Roman" w:eastAsia="Times New Roman" w:hAnsi="Times New Roman"/>
          <w:sz w:val="24"/>
          <w:szCs w:val="24"/>
        </w:rPr>
        <w:t xml:space="preserve"> 5.6 p. ir 5</w:t>
      </w:r>
      <w:r w:rsidR="00EE256D" w:rsidRPr="00260F77">
        <w:rPr>
          <w:rFonts w:ascii="Times New Roman" w:eastAsia="Times New Roman" w:hAnsi="Times New Roman"/>
          <w:sz w:val="24"/>
          <w:szCs w:val="24"/>
        </w:rPr>
        <w:t>.9</w:t>
      </w:r>
      <w:r w:rsidRPr="00260F77">
        <w:rPr>
          <w:rFonts w:ascii="Times New Roman" w:eastAsia="Times New Roman" w:hAnsi="Times New Roman"/>
          <w:sz w:val="24"/>
          <w:szCs w:val="24"/>
        </w:rPr>
        <w:t xml:space="preserve"> p.;</w:t>
      </w:r>
    </w:p>
    <w:p w14:paraId="70287BA1" w14:textId="2E645482" w:rsidR="000E3C24" w:rsidRPr="00260F77" w:rsidRDefault="000E3C24" w:rsidP="000E3C24">
      <w:pPr>
        <w:pStyle w:val="ListParagraph"/>
        <w:numPr>
          <w:ilvl w:val="1"/>
          <w:numId w:val="2"/>
        </w:numPr>
        <w:spacing w:after="0" w:line="264" w:lineRule="auto"/>
        <w:rPr>
          <w:rFonts w:ascii="Times New Roman" w:hAnsi="Times New Roman"/>
          <w:sz w:val="24"/>
          <w:szCs w:val="24"/>
        </w:rPr>
      </w:pPr>
      <w:r w:rsidRPr="00260F77">
        <w:rPr>
          <w:rFonts w:ascii="Times New Roman" w:hAnsi="Times New Roman"/>
          <w:sz w:val="24"/>
          <w:szCs w:val="24"/>
        </w:rPr>
        <w:t>5-ojo EVS</w:t>
      </w:r>
      <w:r w:rsidR="00EE5367" w:rsidRPr="00260F77">
        <w:rPr>
          <w:rFonts w:ascii="Times New Roman" w:hAnsi="Times New Roman"/>
          <w:sz w:val="24"/>
          <w:szCs w:val="24"/>
        </w:rPr>
        <w:t xml:space="preserve"> „Vertinimo ataskaitos“</w:t>
      </w:r>
      <w:r w:rsidRPr="00260F77">
        <w:rPr>
          <w:rFonts w:ascii="Times New Roman" w:hAnsi="Times New Roman"/>
          <w:sz w:val="24"/>
          <w:szCs w:val="24"/>
        </w:rPr>
        <w:t xml:space="preserve"> </w:t>
      </w:r>
      <w:r w:rsidRPr="00260F77">
        <w:rPr>
          <w:rFonts w:ascii="Times New Roman" w:eastAsia="Times New Roman" w:hAnsi="Times New Roman"/>
          <w:sz w:val="24"/>
          <w:szCs w:val="24"/>
        </w:rPr>
        <w:t>4.2.</w:t>
      </w:r>
      <w:r w:rsidR="00D42A38" w:rsidRPr="00260F77">
        <w:rPr>
          <w:rFonts w:ascii="Times New Roman" w:eastAsia="Times New Roman" w:hAnsi="Times New Roman"/>
          <w:sz w:val="24"/>
          <w:szCs w:val="24"/>
        </w:rPr>
        <w:t>7</w:t>
      </w:r>
      <w:r w:rsidRPr="00260F77">
        <w:rPr>
          <w:rFonts w:ascii="Times New Roman" w:eastAsia="Times New Roman" w:hAnsi="Times New Roman"/>
          <w:sz w:val="24"/>
          <w:szCs w:val="24"/>
        </w:rPr>
        <w:t xml:space="preserve"> p.;</w:t>
      </w:r>
    </w:p>
    <w:p w14:paraId="5C1BCFD7" w14:textId="77777777" w:rsidR="000E3C24" w:rsidRPr="00260F77" w:rsidRDefault="000E3C24" w:rsidP="000E3C24">
      <w:pPr>
        <w:pStyle w:val="ListParagraph"/>
        <w:numPr>
          <w:ilvl w:val="1"/>
          <w:numId w:val="2"/>
        </w:numPr>
        <w:spacing w:after="0" w:line="264" w:lineRule="auto"/>
        <w:rPr>
          <w:rFonts w:ascii="Times New Roman" w:hAnsi="Times New Roman"/>
          <w:sz w:val="24"/>
          <w:szCs w:val="24"/>
        </w:rPr>
      </w:pPr>
      <w:r w:rsidRPr="00260F77">
        <w:rPr>
          <w:rFonts w:ascii="Times New Roman" w:eastAsia="Times New Roman" w:hAnsi="Times New Roman"/>
          <w:sz w:val="24"/>
          <w:szCs w:val="24"/>
        </w:rPr>
        <w:t xml:space="preserve">Terminų žodyno sąvoka </w:t>
      </w:r>
      <w:r w:rsidRPr="00260F77">
        <w:rPr>
          <w:rFonts w:ascii="Times New Roman" w:eastAsia="Times New Roman" w:hAnsi="Times New Roman"/>
          <w:iCs/>
          <w:sz w:val="24"/>
          <w:szCs w:val="24"/>
        </w:rPr>
        <w:t>„nukrypimas“.</w:t>
      </w:r>
    </w:p>
    <w:p w14:paraId="52A90BC2" w14:textId="5CE16AD0" w:rsidR="00696477" w:rsidRPr="00260F77" w:rsidRDefault="00696477" w:rsidP="00696477">
      <w:pPr>
        <w:pStyle w:val="ListParagraph"/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260F77">
        <w:rPr>
          <w:rFonts w:ascii="Times New Roman" w:hAnsi="Times New Roman"/>
          <w:sz w:val="24"/>
          <w:szCs w:val="24"/>
        </w:rPr>
        <w:t>Teismų praktika</w:t>
      </w:r>
      <w:r w:rsidR="000E3C24" w:rsidRPr="00260F77">
        <w:rPr>
          <w:rFonts w:ascii="Times New Roman" w:hAnsi="Times New Roman"/>
          <w:sz w:val="24"/>
          <w:szCs w:val="24"/>
        </w:rPr>
        <w:t xml:space="preserve">: </w:t>
      </w:r>
    </w:p>
    <w:p w14:paraId="52A90BD1" w14:textId="79424B35" w:rsidR="00696477" w:rsidRPr="00260F77" w:rsidRDefault="00696477" w:rsidP="005658CB">
      <w:pPr>
        <w:pStyle w:val="ListParagraph"/>
        <w:numPr>
          <w:ilvl w:val="1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260F7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Lietuvos vyriausiojo administracinio teismo 2017 m. liepos 27 d. nutartis administracinėje byloje Nr. </w:t>
      </w:r>
      <w:r w:rsidRPr="00260F77">
        <w:rPr>
          <w:rFonts w:ascii="Times New Roman" w:hAnsi="Times New Roman"/>
          <w:sz w:val="24"/>
          <w:szCs w:val="24"/>
        </w:rPr>
        <w:t>eA-307-822/2017</w:t>
      </w:r>
      <w:r w:rsidRPr="00260F7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52A90BD2" w14:textId="77777777" w:rsidR="00696477" w:rsidRPr="00260F77" w:rsidRDefault="00696477" w:rsidP="005658CB">
      <w:pPr>
        <w:pStyle w:val="ListParagraph"/>
        <w:numPr>
          <w:ilvl w:val="1"/>
          <w:numId w:val="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260F7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Lietuvos vyriausiojo administracinio teismo 2018 m. spalio 22 d. sprendimas administracinėje byloje Nr. </w:t>
      </w:r>
      <w:r w:rsidRPr="00260F77">
        <w:rPr>
          <w:rFonts w:ascii="Times New Roman" w:eastAsia="Times New Roman" w:hAnsi="Times New Roman"/>
          <w:sz w:val="24"/>
          <w:szCs w:val="24"/>
        </w:rPr>
        <w:t>eI-6-822/2018.</w:t>
      </w:r>
    </w:p>
    <w:p w14:paraId="52A90BD3" w14:textId="29F8A98C" w:rsidR="00EE3A5B" w:rsidRPr="00260F77" w:rsidRDefault="00EE3A5B">
      <w:pPr>
        <w:rPr>
          <w:rFonts w:asciiTheme="majorBidi" w:hAnsiTheme="majorBidi" w:cstheme="majorBidi"/>
          <w:sz w:val="24"/>
          <w:szCs w:val="24"/>
        </w:rPr>
      </w:pPr>
    </w:p>
    <w:p w14:paraId="2B2E5666" w14:textId="7B1BFF00" w:rsidR="00D752F6" w:rsidRPr="00260F77" w:rsidRDefault="00D752F6" w:rsidP="00E06719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D752F6" w:rsidRPr="00260F77" w:rsidSect="003565BC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25E16"/>
    <w:multiLevelType w:val="hybridMultilevel"/>
    <w:tmpl w:val="135C0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222"/>
    <w:multiLevelType w:val="hybridMultilevel"/>
    <w:tmpl w:val="D1E6F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23D78"/>
    <w:multiLevelType w:val="multilevel"/>
    <w:tmpl w:val="C2FA79E6"/>
    <w:lvl w:ilvl="0">
      <w:start w:val="3"/>
      <w:numFmt w:val="decimal"/>
      <w:lvlText w:val="%1."/>
      <w:lvlJc w:val="left"/>
      <w:pPr>
        <w:ind w:left="720" w:hanging="360"/>
      </w:pPr>
      <w:rPr>
        <w:color w:val="221F1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F703F"/>
    <w:multiLevelType w:val="multilevel"/>
    <w:tmpl w:val="D276B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22B6B"/>
    <w:multiLevelType w:val="multilevel"/>
    <w:tmpl w:val="34AE5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Calibri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7007260">
    <w:abstractNumId w:val="4"/>
  </w:num>
  <w:num w:numId="2" w16cid:durableId="272982706">
    <w:abstractNumId w:val="0"/>
  </w:num>
  <w:num w:numId="3" w16cid:durableId="1618949178">
    <w:abstractNumId w:val="1"/>
  </w:num>
  <w:num w:numId="4" w16cid:durableId="1134835994">
    <w:abstractNumId w:val="2"/>
  </w:num>
  <w:num w:numId="5" w16cid:durableId="1571113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77"/>
    <w:rsid w:val="00006080"/>
    <w:rsid w:val="000124ED"/>
    <w:rsid w:val="00036F11"/>
    <w:rsid w:val="0004270A"/>
    <w:rsid w:val="00050F41"/>
    <w:rsid w:val="00051C18"/>
    <w:rsid w:val="00062B20"/>
    <w:rsid w:val="000666D5"/>
    <w:rsid w:val="00080B30"/>
    <w:rsid w:val="00083475"/>
    <w:rsid w:val="000869F1"/>
    <w:rsid w:val="000870D8"/>
    <w:rsid w:val="00090A45"/>
    <w:rsid w:val="000B1741"/>
    <w:rsid w:val="000B7602"/>
    <w:rsid w:val="000C199D"/>
    <w:rsid w:val="000C36C8"/>
    <w:rsid w:val="000C4106"/>
    <w:rsid w:val="000C571D"/>
    <w:rsid w:val="000C76EE"/>
    <w:rsid w:val="000D3E99"/>
    <w:rsid w:val="000E3C24"/>
    <w:rsid w:val="000E471E"/>
    <w:rsid w:val="000E6B82"/>
    <w:rsid w:val="000F0306"/>
    <w:rsid w:val="000F4024"/>
    <w:rsid w:val="0010448A"/>
    <w:rsid w:val="001064AE"/>
    <w:rsid w:val="00107F96"/>
    <w:rsid w:val="00110BEC"/>
    <w:rsid w:val="0011112A"/>
    <w:rsid w:val="00122B2D"/>
    <w:rsid w:val="001231BA"/>
    <w:rsid w:val="00137609"/>
    <w:rsid w:val="00137DB6"/>
    <w:rsid w:val="00141AB6"/>
    <w:rsid w:val="001568D7"/>
    <w:rsid w:val="00157960"/>
    <w:rsid w:val="001642B0"/>
    <w:rsid w:val="00165BE9"/>
    <w:rsid w:val="00174D70"/>
    <w:rsid w:val="00177E4F"/>
    <w:rsid w:val="0018424E"/>
    <w:rsid w:val="001A1FF0"/>
    <w:rsid w:val="001A29D4"/>
    <w:rsid w:val="001C0E2D"/>
    <w:rsid w:val="001C75AB"/>
    <w:rsid w:val="001D40E5"/>
    <w:rsid w:val="001E173E"/>
    <w:rsid w:val="001E297C"/>
    <w:rsid w:val="001F4408"/>
    <w:rsid w:val="0020741C"/>
    <w:rsid w:val="002118EE"/>
    <w:rsid w:val="00213AF1"/>
    <w:rsid w:val="00214FEC"/>
    <w:rsid w:val="00216276"/>
    <w:rsid w:val="00222BEC"/>
    <w:rsid w:val="00225B15"/>
    <w:rsid w:val="002260B1"/>
    <w:rsid w:val="00226FE1"/>
    <w:rsid w:val="00236BB9"/>
    <w:rsid w:val="002412AC"/>
    <w:rsid w:val="00243432"/>
    <w:rsid w:val="00247FBC"/>
    <w:rsid w:val="00250319"/>
    <w:rsid w:val="00251C15"/>
    <w:rsid w:val="00260F77"/>
    <w:rsid w:val="00262ADD"/>
    <w:rsid w:val="00264466"/>
    <w:rsid w:val="0026462C"/>
    <w:rsid w:val="00266E70"/>
    <w:rsid w:val="0028738B"/>
    <w:rsid w:val="00291372"/>
    <w:rsid w:val="00295E2F"/>
    <w:rsid w:val="002A07E8"/>
    <w:rsid w:val="002A6AFA"/>
    <w:rsid w:val="002B7C92"/>
    <w:rsid w:val="002C17EE"/>
    <w:rsid w:val="002D1E91"/>
    <w:rsid w:val="002D61A9"/>
    <w:rsid w:val="002E0CAD"/>
    <w:rsid w:val="002E4B50"/>
    <w:rsid w:val="002E5C97"/>
    <w:rsid w:val="002F1E03"/>
    <w:rsid w:val="002F697B"/>
    <w:rsid w:val="00303CAA"/>
    <w:rsid w:val="00303E2A"/>
    <w:rsid w:val="00310C94"/>
    <w:rsid w:val="003160B5"/>
    <w:rsid w:val="00317A36"/>
    <w:rsid w:val="00321FA3"/>
    <w:rsid w:val="00324A07"/>
    <w:rsid w:val="00326723"/>
    <w:rsid w:val="00341CF4"/>
    <w:rsid w:val="00345764"/>
    <w:rsid w:val="003565BC"/>
    <w:rsid w:val="00357403"/>
    <w:rsid w:val="00361856"/>
    <w:rsid w:val="00362409"/>
    <w:rsid w:val="00370DD4"/>
    <w:rsid w:val="00371A94"/>
    <w:rsid w:val="00380FD5"/>
    <w:rsid w:val="00395276"/>
    <w:rsid w:val="003A0C90"/>
    <w:rsid w:val="003B3061"/>
    <w:rsid w:val="003C05D2"/>
    <w:rsid w:val="003C1176"/>
    <w:rsid w:val="003C1F22"/>
    <w:rsid w:val="003C2BB1"/>
    <w:rsid w:val="003D0479"/>
    <w:rsid w:val="003D7D2E"/>
    <w:rsid w:val="003F225C"/>
    <w:rsid w:val="003F72DB"/>
    <w:rsid w:val="0040086B"/>
    <w:rsid w:val="00407AAD"/>
    <w:rsid w:val="00413A9D"/>
    <w:rsid w:val="0042252E"/>
    <w:rsid w:val="00425252"/>
    <w:rsid w:val="00452816"/>
    <w:rsid w:val="004644A5"/>
    <w:rsid w:val="00464BC7"/>
    <w:rsid w:val="004653D0"/>
    <w:rsid w:val="00475752"/>
    <w:rsid w:val="00481191"/>
    <w:rsid w:val="00481E92"/>
    <w:rsid w:val="00482914"/>
    <w:rsid w:val="00483C4A"/>
    <w:rsid w:val="004862E1"/>
    <w:rsid w:val="004867EC"/>
    <w:rsid w:val="0049070E"/>
    <w:rsid w:val="004A019B"/>
    <w:rsid w:val="004A0EE2"/>
    <w:rsid w:val="004A3393"/>
    <w:rsid w:val="004A40D2"/>
    <w:rsid w:val="004A4C21"/>
    <w:rsid w:val="004B375F"/>
    <w:rsid w:val="004B3995"/>
    <w:rsid w:val="004B4450"/>
    <w:rsid w:val="004B69EA"/>
    <w:rsid w:val="004D3F6F"/>
    <w:rsid w:val="004F2BE4"/>
    <w:rsid w:val="00510B44"/>
    <w:rsid w:val="00512223"/>
    <w:rsid w:val="00520D2F"/>
    <w:rsid w:val="005219A3"/>
    <w:rsid w:val="00524169"/>
    <w:rsid w:val="00533A58"/>
    <w:rsid w:val="005351EF"/>
    <w:rsid w:val="0053633D"/>
    <w:rsid w:val="0054660F"/>
    <w:rsid w:val="00551830"/>
    <w:rsid w:val="00565888"/>
    <w:rsid w:val="005658CB"/>
    <w:rsid w:val="00574E72"/>
    <w:rsid w:val="00596B50"/>
    <w:rsid w:val="005A59D8"/>
    <w:rsid w:val="005B1C6A"/>
    <w:rsid w:val="005C0FEE"/>
    <w:rsid w:val="005C3327"/>
    <w:rsid w:val="005C7619"/>
    <w:rsid w:val="005D17A0"/>
    <w:rsid w:val="005D3917"/>
    <w:rsid w:val="005D6BC8"/>
    <w:rsid w:val="005E0FA0"/>
    <w:rsid w:val="005F3027"/>
    <w:rsid w:val="005F5E91"/>
    <w:rsid w:val="005F72C7"/>
    <w:rsid w:val="006025EB"/>
    <w:rsid w:val="0061301E"/>
    <w:rsid w:val="00620D52"/>
    <w:rsid w:val="00632646"/>
    <w:rsid w:val="00632980"/>
    <w:rsid w:val="00641D39"/>
    <w:rsid w:val="00642FEC"/>
    <w:rsid w:val="0065075B"/>
    <w:rsid w:val="0065608E"/>
    <w:rsid w:val="00662660"/>
    <w:rsid w:val="0067090C"/>
    <w:rsid w:val="00695063"/>
    <w:rsid w:val="00696477"/>
    <w:rsid w:val="006A1A0B"/>
    <w:rsid w:val="006A4A51"/>
    <w:rsid w:val="006A79BD"/>
    <w:rsid w:val="006B051E"/>
    <w:rsid w:val="006B7328"/>
    <w:rsid w:val="006C2B3F"/>
    <w:rsid w:val="006D4419"/>
    <w:rsid w:val="006D44C9"/>
    <w:rsid w:val="006D4C00"/>
    <w:rsid w:val="006E248F"/>
    <w:rsid w:val="007003CD"/>
    <w:rsid w:val="00712725"/>
    <w:rsid w:val="00721368"/>
    <w:rsid w:val="007238DA"/>
    <w:rsid w:val="00726A89"/>
    <w:rsid w:val="00727E76"/>
    <w:rsid w:val="0075469C"/>
    <w:rsid w:val="00754AE5"/>
    <w:rsid w:val="00761722"/>
    <w:rsid w:val="007657C0"/>
    <w:rsid w:val="0077006D"/>
    <w:rsid w:val="00771BFC"/>
    <w:rsid w:val="00773EFA"/>
    <w:rsid w:val="00776D74"/>
    <w:rsid w:val="00792C9A"/>
    <w:rsid w:val="007B2271"/>
    <w:rsid w:val="007B39B2"/>
    <w:rsid w:val="007C04CB"/>
    <w:rsid w:val="007C0EDD"/>
    <w:rsid w:val="007C18A3"/>
    <w:rsid w:val="007C4802"/>
    <w:rsid w:val="007D0535"/>
    <w:rsid w:val="007D793C"/>
    <w:rsid w:val="007E41FD"/>
    <w:rsid w:val="007F245D"/>
    <w:rsid w:val="007F2FCD"/>
    <w:rsid w:val="007F3003"/>
    <w:rsid w:val="0080475A"/>
    <w:rsid w:val="00805797"/>
    <w:rsid w:val="008134B6"/>
    <w:rsid w:val="00825419"/>
    <w:rsid w:val="00831952"/>
    <w:rsid w:val="00842E15"/>
    <w:rsid w:val="00843DC5"/>
    <w:rsid w:val="008446F0"/>
    <w:rsid w:val="00862BED"/>
    <w:rsid w:val="00885246"/>
    <w:rsid w:val="00885D17"/>
    <w:rsid w:val="008868E8"/>
    <w:rsid w:val="00886CB2"/>
    <w:rsid w:val="00886F0F"/>
    <w:rsid w:val="00894CB9"/>
    <w:rsid w:val="008A1ACD"/>
    <w:rsid w:val="008B54EC"/>
    <w:rsid w:val="008C3604"/>
    <w:rsid w:val="008C5D51"/>
    <w:rsid w:val="008D59E4"/>
    <w:rsid w:val="008E27C1"/>
    <w:rsid w:val="008F18A4"/>
    <w:rsid w:val="008F202A"/>
    <w:rsid w:val="008F2C3B"/>
    <w:rsid w:val="00904661"/>
    <w:rsid w:val="00905BAC"/>
    <w:rsid w:val="00911F0C"/>
    <w:rsid w:val="0091388B"/>
    <w:rsid w:val="00915D76"/>
    <w:rsid w:val="0091750B"/>
    <w:rsid w:val="00921802"/>
    <w:rsid w:val="00923E55"/>
    <w:rsid w:val="00970D47"/>
    <w:rsid w:val="009766EC"/>
    <w:rsid w:val="00981802"/>
    <w:rsid w:val="009B6E08"/>
    <w:rsid w:val="009C5CE3"/>
    <w:rsid w:val="009D17F2"/>
    <w:rsid w:val="009D7845"/>
    <w:rsid w:val="009E7716"/>
    <w:rsid w:val="009E7A70"/>
    <w:rsid w:val="009F39F6"/>
    <w:rsid w:val="009F5353"/>
    <w:rsid w:val="00A00332"/>
    <w:rsid w:val="00A0461E"/>
    <w:rsid w:val="00A0576F"/>
    <w:rsid w:val="00A247F5"/>
    <w:rsid w:val="00A27883"/>
    <w:rsid w:val="00A30694"/>
    <w:rsid w:val="00A40F6B"/>
    <w:rsid w:val="00A44443"/>
    <w:rsid w:val="00A4557C"/>
    <w:rsid w:val="00A50AD7"/>
    <w:rsid w:val="00A515AE"/>
    <w:rsid w:val="00A617B2"/>
    <w:rsid w:val="00A803DB"/>
    <w:rsid w:val="00A80C7E"/>
    <w:rsid w:val="00AA2807"/>
    <w:rsid w:val="00AA50AC"/>
    <w:rsid w:val="00AB5452"/>
    <w:rsid w:val="00AB5E4E"/>
    <w:rsid w:val="00AD0DD6"/>
    <w:rsid w:val="00AD3119"/>
    <w:rsid w:val="00AD5EC5"/>
    <w:rsid w:val="00AE163B"/>
    <w:rsid w:val="00AE5672"/>
    <w:rsid w:val="00AF3203"/>
    <w:rsid w:val="00B069FB"/>
    <w:rsid w:val="00B07330"/>
    <w:rsid w:val="00B14390"/>
    <w:rsid w:val="00B15B68"/>
    <w:rsid w:val="00B328EF"/>
    <w:rsid w:val="00B420DC"/>
    <w:rsid w:val="00B42771"/>
    <w:rsid w:val="00B42835"/>
    <w:rsid w:val="00B44E49"/>
    <w:rsid w:val="00B51225"/>
    <w:rsid w:val="00B52E25"/>
    <w:rsid w:val="00B5469F"/>
    <w:rsid w:val="00B54B3B"/>
    <w:rsid w:val="00B54DAF"/>
    <w:rsid w:val="00B56F24"/>
    <w:rsid w:val="00B64915"/>
    <w:rsid w:val="00B7266B"/>
    <w:rsid w:val="00B841EE"/>
    <w:rsid w:val="00B94842"/>
    <w:rsid w:val="00BA53CA"/>
    <w:rsid w:val="00BC1107"/>
    <w:rsid w:val="00BC5F64"/>
    <w:rsid w:val="00BD2E32"/>
    <w:rsid w:val="00BE42DA"/>
    <w:rsid w:val="00BF4E1C"/>
    <w:rsid w:val="00C005C6"/>
    <w:rsid w:val="00C01922"/>
    <w:rsid w:val="00C3044B"/>
    <w:rsid w:val="00C400E1"/>
    <w:rsid w:val="00C42BCA"/>
    <w:rsid w:val="00C4533D"/>
    <w:rsid w:val="00C461A1"/>
    <w:rsid w:val="00C475D4"/>
    <w:rsid w:val="00C53504"/>
    <w:rsid w:val="00C551CA"/>
    <w:rsid w:val="00C57509"/>
    <w:rsid w:val="00C723B2"/>
    <w:rsid w:val="00C73281"/>
    <w:rsid w:val="00C874DF"/>
    <w:rsid w:val="00C9178F"/>
    <w:rsid w:val="00C95252"/>
    <w:rsid w:val="00CB053A"/>
    <w:rsid w:val="00CB3964"/>
    <w:rsid w:val="00CB4373"/>
    <w:rsid w:val="00CC0532"/>
    <w:rsid w:val="00CC2C8F"/>
    <w:rsid w:val="00CC3F04"/>
    <w:rsid w:val="00CC4A95"/>
    <w:rsid w:val="00CD36B8"/>
    <w:rsid w:val="00CE1C57"/>
    <w:rsid w:val="00CF48E7"/>
    <w:rsid w:val="00D0740B"/>
    <w:rsid w:val="00D145BA"/>
    <w:rsid w:val="00D153A8"/>
    <w:rsid w:val="00D205AF"/>
    <w:rsid w:val="00D21CA8"/>
    <w:rsid w:val="00D35DF2"/>
    <w:rsid w:val="00D42A38"/>
    <w:rsid w:val="00D467CF"/>
    <w:rsid w:val="00D51CE7"/>
    <w:rsid w:val="00D5273C"/>
    <w:rsid w:val="00D6181F"/>
    <w:rsid w:val="00D62518"/>
    <w:rsid w:val="00D62698"/>
    <w:rsid w:val="00D63CD0"/>
    <w:rsid w:val="00D72D86"/>
    <w:rsid w:val="00D752F6"/>
    <w:rsid w:val="00D83BFB"/>
    <w:rsid w:val="00D91DAE"/>
    <w:rsid w:val="00D95DFD"/>
    <w:rsid w:val="00DA1843"/>
    <w:rsid w:val="00DA667A"/>
    <w:rsid w:val="00DA6AB5"/>
    <w:rsid w:val="00DC28D4"/>
    <w:rsid w:val="00DC79BE"/>
    <w:rsid w:val="00DD4E7A"/>
    <w:rsid w:val="00DD52A1"/>
    <w:rsid w:val="00DE1065"/>
    <w:rsid w:val="00DE6FBD"/>
    <w:rsid w:val="00DF1530"/>
    <w:rsid w:val="00DF19E1"/>
    <w:rsid w:val="00DF6F18"/>
    <w:rsid w:val="00E06719"/>
    <w:rsid w:val="00E160B1"/>
    <w:rsid w:val="00E22197"/>
    <w:rsid w:val="00E27C36"/>
    <w:rsid w:val="00E31E1B"/>
    <w:rsid w:val="00E5037F"/>
    <w:rsid w:val="00E52D70"/>
    <w:rsid w:val="00E60F55"/>
    <w:rsid w:val="00E63898"/>
    <w:rsid w:val="00E77ED2"/>
    <w:rsid w:val="00E86464"/>
    <w:rsid w:val="00E92918"/>
    <w:rsid w:val="00E94698"/>
    <w:rsid w:val="00EA6449"/>
    <w:rsid w:val="00EB495F"/>
    <w:rsid w:val="00EC518B"/>
    <w:rsid w:val="00ED6F4D"/>
    <w:rsid w:val="00EE0A5C"/>
    <w:rsid w:val="00EE256D"/>
    <w:rsid w:val="00EE3A5B"/>
    <w:rsid w:val="00EE5367"/>
    <w:rsid w:val="00F001B7"/>
    <w:rsid w:val="00F131EC"/>
    <w:rsid w:val="00F217F7"/>
    <w:rsid w:val="00F453CE"/>
    <w:rsid w:val="00F45C34"/>
    <w:rsid w:val="00F4775E"/>
    <w:rsid w:val="00F54FC5"/>
    <w:rsid w:val="00F5705C"/>
    <w:rsid w:val="00F62BDE"/>
    <w:rsid w:val="00F96B38"/>
    <w:rsid w:val="00FA16E3"/>
    <w:rsid w:val="00FA2F97"/>
    <w:rsid w:val="00FB030E"/>
    <w:rsid w:val="00FB1A8A"/>
    <w:rsid w:val="00FB4249"/>
    <w:rsid w:val="00FC6216"/>
    <w:rsid w:val="00FD6286"/>
    <w:rsid w:val="00FD6BA5"/>
    <w:rsid w:val="00FE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0BB0"/>
  <w15:chartTrackingRefBased/>
  <w15:docId w15:val="{B732DF41-7399-4DEC-94EF-48E2AB33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4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RP-List Paragraph,List Paragraph1,List Paragraph11,Numbering,Table of contents numbered,List Paragraph21,List Paragraph2,Bullet EY"/>
    <w:basedOn w:val="Normal"/>
    <w:link w:val="ListParagraphChar"/>
    <w:uiPriority w:val="34"/>
    <w:qFormat/>
    <w:rsid w:val="00696477"/>
    <w:pPr>
      <w:ind w:left="720"/>
      <w:contextualSpacing/>
    </w:pPr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ListParagraphChar">
    <w:name w:val="List Paragraph Char"/>
    <w:aliases w:val="ERP-List Paragraph Char,List Paragraph1 Char,List Paragraph11 Char,Numbering Char,Table of contents numbered Char,List Paragraph21 Char,List Paragraph2 Char,Bullet EY Char"/>
    <w:link w:val="ListParagraph"/>
    <w:uiPriority w:val="34"/>
    <w:locked/>
    <w:rsid w:val="00696477"/>
    <w:rPr>
      <w:rFonts w:ascii="Calibri" w:eastAsia="Calibri" w:hAnsi="Calibri" w:cs="Times New Roman"/>
      <w:sz w:val="20"/>
      <w:szCs w:val="20"/>
      <w:lang w:val="lt-LT" w:eastAsia="x-none"/>
    </w:rPr>
  </w:style>
  <w:style w:type="paragraph" w:customStyle="1" w:styleId="Default">
    <w:name w:val="Default"/>
    <w:rsid w:val="0069647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4644A5"/>
    <w:pPr>
      <w:spacing w:after="0" w:line="240" w:lineRule="auto"/>
    </w:pPr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803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3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3DB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3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3DB"/>
    <w:rPr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CAA"/>
    <w:rPr>
      <w:rFonts w:ascii="Segoe UI" w:hAnsi="Segoe UI" w:cs="Segoe UI"/>
      <w:sz w:val="18"/>
      <w:szCs w:val="18"/>
      <w:lang w:val="lt-LT"/>
    </w:rPr>
  </w:style>
  <w:style w:type="paragraph" w:styleId="NormalWeb">
    <w:name w:val="Normal (Web)"/>
    <w:basedOn w:val="Normal"/>
    <w:uiPriority w:val="99"/>
    <w:semiHidden/>
    <w:unhideWhenUsed/>
    <w:rsid w:val="00D7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itle">
    <w:name w:val="Title"/>
    <w:basedOn w:val="Normal"/>
    <w:next w:val="Normal"/>
    <w:link w:val="TitleChar"/>
    <w:uiPriority w:val="10"/>
    <w:qFormat/>
    <w:rsid w:val="00A0576F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lt-LT"/>
    </w:rPr>
  </w:style>
  <w:style w:type="character" w:customStyle="1" w:styleId="TitleChar">
    <w:name w:val="Title Char"/>
    <w:basedOn w:val="DefaultParagraphFont"/>
    <w:link w:val="Title"/>
    <w:uiPriority w:val="10"/>
    <w:rsid w:val="00A0576F"/>
    <w:rPr>
      <w:rFonts w:ascii="Calibri" w:eastAsia="Calibri" w:hAnsi="Calibri" w:cs="Calibri"/>
      <w:b/>
      <w:sz w:val="72"/>
      <w:szCs w:val="7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7C11562D33B479041E1875919713D" ma:contentTypeVersion="18" ma:contentTypeDescription="Create a new document." ma:contentTypeScope="" ma:versionID="dddd8e0ccd07724cee7f966750dd4d8e">
  <xsd:schema xmlns:xsd="http://www.w3.org/2001/XMLSchema" xmlns:xs="http://www.w3.org/2001/XMLSchema" xmlns:p="http://schemas.microsoft.com/office/2006/metadata/properties" xmlns:ns2="f6b14d33-e636-46b7-8b21-0f9243696a4b" xmlns:ns3="383f865a-6fec-435e-903f-fabe8407eb96" targetNamespace="http://schemas.microsoft.com/office/2006/metadata/properties" ma:root="true" ma:fieldsID="06ea29d7d82fb506b754f579ea3e7725" ns2:_="" ns3:_="">
    <xsd:import namespace="f6b14d33-e636-46b7-8b21-0f9243696a4b"/>
    <xsd:import namespace="383f865a-6fec-435e-903f-fabe8407e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14d33-e636-46b7-8b21-0f9243696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d1d2ccd-582f-4c11-92ca-cb4f56649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f865a-6fec-435e-903f-fabe8407eb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347802-c944-49b9-9ccc-84b2f1135757}" ma:internalName="TaxCatchAll" ma:showField="CatchAllData" ma:web="383f865a-6fec-435e-903f-fabe8407e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14d33-e636-46b7-8b21-0f9243696a4b">
      <Terms xmlns="http://schemas.microsoft.com/office/infopath/2007/PartnerControls"/>
    </lcf76f155ced4ddcb4097134ff3c332f>
    <TaxCatchAll xmlns="383f865a-6fec-435e-903f-fabe8407eb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BD81FC-4E53-448A-8814-51F18DCF7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14d33-e636-46b7-8b21-0f9243696a4b"/>
    <ds:schemaRef ds:uri="383f865a-6fec-435e-903f-fabe8407eb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6C64B-3973-47A0-9D98-54ABB2566183}">
  <ds:schemaRefs>
    <ds:schemaRef ds:uri="http://schemas.microsoft.com/office/2006/metadata/properties"/>
    <ds:schemaRef ds:uri="http://schemas.microsoft.com/office/infopath/2007/PartnerControls"/>
    <ds:schemaRef ds:uri="f6b14d33-e636-46b7-8b21-0f9243696a4b"/>
    <ds:schemaRef ds:uri="383f865a-6fec-435e-903f-fabe8407eb96"/>
  </ds:schemaRefs>
</ds:datastoreItem>
</file>

<file path=customXml/itemProps3.xml><?xml version="1.0" encoding="utf-8"?>
<ds:datastoreItem xmlns:ds="http://schemas.openxmlformats.org/officeDocument/2006/customXml" ds:itemID="{BD8D41DA-49CB-4303-A8B6-9CE161E471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2</Pages>
  <Words>3465</Words>
  <Characters>1976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 Sliogeriene</dc:creator>
  <cp:keywords/>
  <dc:description/>
  <cp:lastModifiedBy>Rimantas Liaugminas | AVNT</cp:lastModifiedBy>
  <cp:revision>294</cp:revision>
  <dcterms:created xsi:type="dcterms:W3CDTF">2022-11-24T11:14:00Z</dcterms:created>
  <dcterms:modified xsi:type="dcterms:W3CDTF">2025-01-09T05:50:00Z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0x010100D8C7C11562D33B479041E1875919713D</vt:lpwstr>
  </property>
</Properties>
</file>