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65FF" w14:textId="77777777" w:rsidR="00E06512" w:rsidRPr="00C93629" w:rsidRDefault="00E06512" w:rsidP="00E06512">
      <w:pPr>
        <w:spacing w:before="192"/>
        <w:ind w:left="567" w:right="1337"/>
        <w:jc w:val="both"/>
        <w:rPr>
          <w:rFonts w:ascii="Noto Sans" w:hAnsi="Noto Sans" w:cs="Noto Sans"/>
          <w:sz w:val="20"/>
          <w:szCs w:val="20"/>
          <w:lang w:val="lt-LT"/>
        </w:rPr>
      </w:pPr>
    </w:p>
    <w:p w14:paraId="30A3CA52" w14:textId="77777777" w:rsidR="00E06512" w:rsidRPr="00C93629" w:rsidRDefault="00E06512" w:rsidP="00E06512">
      <w:pPr>
        <w:pStyle w:val="Heading11"/>
        <w:ind w:left="851" w:right="1337"/>
        <w:rPr>
          <w:rFonts w:ascii="Noto Sans" w:hAnsi="Noto Sans" w:cs="Noto Sans"/>
          <w:b w:val="0"/>
          <w:bCs w:val="0"/>
          <w:sz w:val="26"/>
          <w:szCs w:val="26"/>
        </w:rPr>
      </w:pPr>
      <w:r w:rsidRPr="00C93629">
        <w:rPr>
          <w:rFonts w:ascii="Noto Sans" w:hAnsi="Noto Sans" w:cs="Noto Sans"/>
          <w:color w:val="231F20"/>
          <w:sz w:val="26"/>
          <w:szCs w:val="26"/>
        </w:rPr>
        <w:t>100-asis TVS „Vertinimo struktūriniai pagrindai“</w:t>
      </w:r>
    </w:p>
    <w:p w14:paraId="169567BC" w14:textId="77777777" w:rsidR="00E06512" w:rsidRPr="00C93629" w:rsidRDefault="00E06512" w:rsidP="00E06512">
      <w:pPr>
        <w:ind w:left="851" w:right="1337"/>
        <w:rPr>
          <w:rFonts w:ascii="Noto Sans" w:hAnsi="Noto Sans" w:cs="Noto Sans"/>
          <w:b/>
          <w:bCs/>
          <w:sz w:val="12"/>
          <w:szCs w:val="12"/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851"/>
        <w:gridCol w:w="992"/>
        <w:gridCol w:w="1134"/>
        <w:gridCol w:w="1134"/>
        <w:gridCol w:w="1134"/>
        <w:gridCol w:w="1000"/>
      </w:tblGrid>
      <w:tr w:rsidR="00E06512" w:rsidRPr="00C93629" w14:paraId="38E568E6" w14:textId="77777777" w:rsidTr="007A0073">
        <w:trPr>
          <w:jc w:val="center"/>
        </w:trPr>
        <w:tc>
          <w:tcPr>
            <w:tcW w:w="850" w:type="dxa"/>
            <w:shd w:val="clear" w:color="auto" w:fill="000000" w:themeFill="text1"/>
          </w:tcPr>
          <w:p w14:paraId="7CB956C2" w14:textId="77777777" w:rsidR="00E06512" w:rsidRPr="00C93629" w:rsidRDefault="00E06512" w:rsidP="007A0073">
            <w:pPr>
              <w:ind w:right="-66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>100-asis TVS</w:t>
            </w:r>
          </w:p>
          <w:p w14:paraId="6D424AE8" w14:textId="77777777" w:rsidR="00E06512" w:rsidRPr="00C93629" w:rsidRDefault="00E06512" w:rsidP="007A0073">
            <w:pPr>
              <w:ind w:right="-6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>Vertinimo struktūriniai pagrindai</w:t>
            </w:r>
          </w:p>
        </w:tc>
        <w:tc>
          <w:tcPr>
            <w:tcW w:w="851" w:type="dxa"/>
          </w:tcPr>
          <w:p w14:paraId="23409EFE" w14:textId="77777777" w:rsidR="00E06512" w:rsidRPr="00C93629" w:rsidRDefault="00E06512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>101-asis TVS</w:t>
            </w:r>
          </w:p>
          <w:p w14:paraId="012041BB" w14:textId="77777777" w:rsidR="00E06512" w:rsidRPr="00C93629" w:rsidRDefault="00E06512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>Darbo apimtis</w:t>
            </w:r>
          </w:p>
        </w:tc>
        <w:tc>
          <w:tcPr>
            <w:tcW w:w="992" w:type="dxa"/>
          </w:tcPr>
          <w:p w14:paraId="4D865309" w14:textId="77777777" w:rsidR="00E06512" w:rsidRPr="00C93629" w:rsidRDefault="00E06512" w:rsidP="007A0073">
            <w:pPr>
              <w:ind w:left="-43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>102-asis TVS</w:t>
            </w:r>
          </w:p>
          <w:p w14:paraId="352C71A3" w14:textId="77777777" w:rsidR="00E06512" w:rsidRPr="00C93629" w:rsidRDefault="00E06512" w:rsidP="007A0073">
            <w:pPr>
              <w:ind w:left="-43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>Vertės pagrindai</w:t>
            </w:r>
          </w:p>
        </w:tc>
        <w:tc>
          <w:tcPr>
            <w:tcW w:w="1134" w:type="dxa"/>
          </w:tcPr>
          <w:p w14:paraId="051058B4" w14:textId="77777777" w:rsidR="00E06512" w:rsidRPr="00C93629" w:rsidRDefault="00E06512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103-iasis TVS </w:t>
            </w:r>
          </w:p>
          <w:p w14:paraId="5F27A6BD" w14:textId="77777777" w:rsidR="00E06512" w:rsidRPr="00C93629" w:rsidRDefault="00E06512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>Vertinimo požiūriai</w:t>
            </w:r>
          </w:p>
        </w:tc>
        <w:tc>
          <w:tcPr>
            <w:tcW w:w="1134" w:type="dxa"/>
          </w:tcPr>
          <w:p w14:paraId="0F348717" w14:textId="77777777" w:rsidR="00E06512" w:rsidRPr="00C93629" w:rsidRDefault="00E06512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>104-asis TVS</w:t>
            </w:r>
          </w:p>
          <w:p w14:paraId="6D2F3C71" w14:textId="77777777" w:rsidR="00E06512" w:rsidRPr="00C93629" w:rsidRDefault="00E06512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>Duomenys ir pradiniai duomenys</w:t>
            </w:r>
          </w:p>
        </w:tc>
        <w:tc>
          <w:tcPr>
            <w:tcW w:w="1134" w:type="dxa"/>
          </w:tcPr>
          <w:p w14:paraId="482EB901" w14:textId="77777777" w:rsidR="00E06512" w:rsidRPr="00C93629" w:rsidRDefault="00E06512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>105-asis TVS</w:t>
            </w:r>
          </w:p>
          <w:p w14:paraId="437C423D" w14:textId="77777777" w:rsidR="00E06512" w:rsidRPr="00C93629" w:rsidRDefault="00E06512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>Vertinimo modeliai</w:t>
            </w:r>
          </w:p>
        </w:tc>
        <w:tc>
          <w:tcPr>
            <w:tcW w:w="1000" w:type="dxa"/>
          </w:tcPr>
          <w:p w14:paraId="11060710" w14:textId="77777777" w:rsidR="00E06512" w:rsidRPr="00C93629" w:rsidRDefault="00E06512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>106-asis TVS</w:t>
            </w:r>
          </w:p>
          <w:p w14:paraId="2F49AFAE" w14:textId="77777777" w:rsidR="00E06512" w:rsidRPr="00C93629" w:rsidRDefault="00E06512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93629">
              <w:rPr>
                <w:rFonts w:ascii="Noto Sans" w:hAnsi="Noto Sans" w:cs="Noto Sans"/>
                <w:sz w:val="14"/>
                <w:szCs w:val="14"/>
                <w:lang w:val="lt-LT"/>
              </w:rPr>
              <w:t>Dokumentai ir ataskaita</w:t>
            </w:r>
          </w:p>
        </w:tc>
      </w:tr>
    </w:tbl>
    <w:p w14:paraId="53F60C5B" w14:textId="77777777" w:rsidR="00E06512" w:rsidRPr="00C93629" w:rsidRDefault="00E06512" w:rsidP="00E06512">
      <w:pPr>
        <w:ind w:left="851" w:right="628"/>
        <w:rPr>
          <w:rFonts w:ascii="Noto Sans" w:hAnsi="Noto Sans" w:cs="Noto Sans"/>
          <w:b/>
          <w:bCs/>
          <w:sz w:val="10"/>
          <w:szCs w:val="10"/>
          <w:lang w:val="lt-LT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1134"/>
      </w:tblGrid>
      <w:tr w:rsidR="00E06512" w:rsidRPr="00C93629" w14:paraId="2A331F4B" w14:textId="77777777" w:rsidTr="007A0073">
        <w:tc>
          <w:tcPr>
            <w:tcW w:w="6237" w:type="dxa"/>
            <w:shd w:val="clear" w:color="auto" w:fill="F2F2F2" w:themeFill="background1" w:themeFillShade="F2"/>
          </w:tcPr>
          <w:p w14:paraId="2144DFDE" w14:textId="77777777" w:rsidR="00E06512" w:rsidRPr="00C93629" w:rsidRDefault="00E06512" w:rsidP="007A0073">
            <w:pPr>
              <w:spacing w:before="11"/>
              <w:ind w:left="-112" w:right="1337"/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  <w:t>Turinys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A4D1532" w14:textId="77777777" w:rsidR="00E06512" w:rsidRPr="00C93629" w:rsidRDefault="00E06512" w:rsidP="007A0073">
            <w:pPr>
              <w:spacing w:before="11"/>
              <w:ind w:left="27" w:right="48"/>
              <w:jc w:val="right"/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  <w:t>Skirsnis</w:t>
            </w:r>
          </w:p>
        </w:tc>
      </w:tr>
      <w:tr w:rsidR="00E06512" w:rsidRPr="00C93629" w14:paraId="58DBF83B" w14:textId="77777777" w:rsidTr="007A0073">
        <w:tc>
          <w:tcPr>
            <w:tcW w:w="6237" w:type="dxa"/>
            <w:shd w:val="clear" w:color="auto" w:fill="F2F2F2" w:themeFill="background1" w:themeFillShade="F2"/>
          </w:tcPr>
          <w:p w14:paraId="06444AF4" w14:textId="77777777" w:rsidR="00E06512" w:rsidRPr="00C93629" w:rsidRDefault="00E06512" w:rsidP="007A0073">
            <w:pPr>
              <w:spacing w:before="11"/>
              <w:ind w:left="-112" w:right="1337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sz w:val="18"/>
                <w:szCs w:val="18"/>
                <w:lang w:val="lt-LT"/>
              </w:rPr>
              <w:t>Vertintojo veiklos principai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4FC29CB" w14:textId="77777777" w:rsidR="00E06512" w:rsidRPr="00C93629" w:rsidRDefault="00E06512" w:rsidP="007A0073">
            <w:pPr>
              <w:spacing w:before="11"/>
              <w:ind w:left="27" w:right="48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sz w:val="18"/>
                <w:szCs w:val="18"/>
                <w:lang w:val="lt-LT"/>
              </w:rPr>
              <w:t>10</w:t>
            </w:r>
          </w:p>
        </w:tc>
      </w:tr>
      <w:tr w:rsidR="00E06512" w:rsidRPr="00C93629" w14:paraId="0D0EB846" w14:textId="77777777" w:rsidTr="007A0073">
        <w:tc>
          <w:tcPr>
            <w:tcW w:w="6237" w:type="dxa"/>
            <w:shd w:val="clear" w:color="auto" w:fill="F2F2F2" w:themeFill="background1" w:themeFillShade="F2"/>
          </w:tcPr>
          <w:p w14:paraId="09CEE513" w14:textId="77777777" w:rsidR="00E06512" w:rsidRPr="00C93629" w:rsidRDefault="00E06512" w:rsidP="007A0073">
            <w:pPr>
              <w:spacing w:before="11"/>
              <w:ind w:left="-112" w:right="17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sz w:val="18"/>
                <w:szCs w:val="18"/>
                <w:lang w:val="lt-LT"/>
              </w:rPr>
              <w:t>Vertinimo proceso kokybės kontrolė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136C41F" w14:textId="77777777" w:rsidR="00E06512" w:rsidRPr="00C93629" w:rsidRDefault="00E06512" w:rsidP="007A0073">
            <w:pPr>
              <w:spacing w:before="11"/>
              <w:ind w:left="27" w:right="48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sz w:val="18"/>
                <w:szCs w:val="18"/>
                <w:lang w:val="lt-LT"/>
              </w:rPr>
              <w:t>20</w:t>
            </w:r>
          </w:p>
        </w:tc>
      </w:tr>
      <w:tr w:rsidR="00E06512" w:rsidRPr="00C93629" w14:paraId="4D62A919" w14:textId="77777777" w:rsidTr="007A0073">
        <w:tc>
          <w:tcPr>
            <w:tcW w:w="6237" w:type="dxa"/>
            <w:shd w:val="clear" w:color="auto" w:fill="F2F2F2" w:themeFill="background1" w:themeFillShade="F2"/>
          </w:tcPr>
          <w:p w14:paraId="08C01533" w14:textId="77777777" w:rsidR="00E06512" w:rsidRPr="00C93629" w:rsidRDefault="00E06512" w:rsidP="007A0073">
            <w:pPr>
              <w:spacing w:before="11"/>
              <w:ind w:left="-112" w:right="17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sz w:val="18"/>
                <w:szCs w:val="18"/>
                <w:lang w:val="lt-LT"/>
              </w:rPr>
              <w:t>Specialistų arba paslaugų organizacijų pasitelkimas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BF9E8BE" w14:textId="77777777" w:rsidR="00E06512" w:rsidRPr="00C93629" w:rsidRDefault="00E06512" w:rsidP="007A0073">
            <w:pPr>
              <w:spacing w:before="11"/>
              <w:ind w:left="27" w:right="48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sz w:val="18"/>
                <w:szCs w:val="18"/>
                <w:lang w:val="lt-LT"/>
              </w:rPr>
              <w:t>30</w:t>
            </w:r>
          </w:p>
        </w:tc>
      </w:tr>
      <w:tr w:rsidR="00E06512" w:rsidRPr="00C93629" w14:paraId="54E17071" w14:textId="77777777" w:rsidTr="007A0073">
        <w:tc>
          <w:tcPr>
            <w:tcW w:w="6237" w:type="dxa"/>
            <w:shd w:val="clear" w:color="auto" w:fill="F2F2F2" w:themeFill="background1" w:themeFillShade="F2"/>
          </w:tcPr>
          <w:p w14:paraId="5CFE0962" w14:textId="77777777" w:rsidR="00E06512" w:rsidRPr="00C93629" w:rsidRDefault="00E06512" w:rsidP="007A0073">
            <w:pPr>
              <w:spacing w:before="11"/>
              <w:ind w:left="-112" w:right="17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sz w:val="18"/>
                <w:szCs w:val="18"/>
                <w:lang w:val="lt-LT"/>
              </w:rPr>
              <w:t>Atitiktis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8BAE49F" w14:textId="77777777" w:rsidR="00E06512" w:rsidRPr="00C93629" w:rsidRDefault="00E06512" w:rsidP="007A0073">
            <w:pPr>
              <w:spacing w:before="11"/>
              <w:ind w:left="27" w:right="48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sz w:val="18"/>
                <w:szCs w:val="18"/>
                <w:lang w:val="lt-LT"/>
              </w:rPr>
              <w:t>40</w:t>
            </w:r>
          </w:p>
        </w:tc>
      </w:tr>
      <w:tr w:rsidR="00E06512" w:rsidRPr="00C93629" w14:paraId="427F552D" w14:textId="77777777" w:rsidTr="007A0073">
        <w:trPr>
          <w:trHeight w:val="366"/>
        </w:trPr>
        <w:tc>
          <w:tcPr>
            <w:tcW w:w="6237" w:type="dxa"/>
            <w:shd w:val="clear" w:color="auto" w:fill="F2F2F2" w:themeFill="background1" w:themeFillShade="F2"/>
          </w:tcPr>
          <w:p w14:paraId="67A3803B" w14:textId="77777777" w:rsidR="00E06512" w:rsidRPr="00C93629" w:rsidRDefault="00E06512" w:rsidP="007A0073">
            <w:pPr>
              <w:spacing w:before="11"/>
              <w:ind w:left="-112" w:right="1337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sz w:val="18"/>
                <w:szCs w:val="18"/>
                <w:lang w:val="lt-LT"/>
              </w:rPr>
              <w:t>Galiojimo data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7B47D4" w14:textId="77777777" w:rsidR="00E06512" w:rsidRPr="00C93629" w:rsidRDefault="00E06512" w:rsidP="007A0073">
            <w:pPr>
              <w:spacing w:before="11"/>
              <w:ind w:left="27" w:right="48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C93629">
              <w:rPr>
                <w:rFonts w:ascii="Noto Sans" w:hAnsi="Noto Sans" w:cs="Noto Sans"/>
                <w:sz w:val="18"/>
                <w:szCs w:val="18"/>
                <w:lang w:val="lt-LT"/>
              </w:rPr>
              <w:t>50</w:t>
            </w:r>
          </w:p>
        </w:tc>
      </w:tr>
    </w:tbl>
    <w:p w14:paraId="29F36BED" w14:textId="77777777" w:rsidR="00E06512" w:rsidRPr="00C93629" w:rsidRDefault="00E06512" w:rsidP="00E06512">
      <w:pPr>
        <w:spacing w:before="192"/>
        <w:ind w:left="851" w:right="628"/>
        <w:jc w:val="both"/>
        <w:rPr>
          <w:rFonts w:ascii="Noto Sans" w:hAnsi="Noto Sans" w:cs="Noto Sans"/>
          <w:b/>
          <w:bCs/>
          <w:sz w:val="18"/>
          <w:szCs w:val="18"/>
          <w:lang w:val="lt-LT"/>
        </w:rPr>
      </w:pP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 xml:space="preserve">Bendrieji standartai taikomi viso </w:t>
      </w:r>
      <w:r w:rsidRPr="00C93629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turto</w:t>
      </w: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ir visų </w:t>
      </w:r>
      <w:r w:rsidRPr="00C93629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įsipareigojimų vertinimui</w:t>
      </w: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atlikti, yra bet kokio </w:t>
      </w:r>
      <w:r w:rsidRPr="00C93629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vertinimo</w:t>
      </w: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pagrindas. Turto standartuose pateikiami reikalavimai, papildantys bendruosius standartus, taikomi konkrečioms </w:t>
      </w:r>
      <w:r w:rsidRPr="00C93629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turto</w:t>
      </w: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ir </w:t>
      </w:r>
      <w:r w:rsidRPr="00C93629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įsipareigojimų</w:t>
      </w: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rūšims.</w:t>
      </w:r>
    </w:p>
    <w:p w14:paraId="7A802EFF" w14:textId="77777777" w:rsidR="00E06512" w:rsidRPr="00C93629" w:rsidRDefault="00E06512" w:rsidP="00E06512">
      <w:pPr>
        <w:spacing w:before="40"/>
        <w:ind w:left="851" w:right="628"/>
        <w:jc w:val="both"/>
        <w:rPr>
          <w:rFonts w:ascii="Noto Sans" w:hAnsi="Noto Sans" w:cs="Noto Sans"/>
          <w:b/>
          <w:bCs/>
          <w:sz w:val="18"/>
          <w:szCs w:val="18"/>
          <w:lang w:val="lt-LT"/>
        </w:rPr>
      </w:pP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>Atitiktis TVS yra bendrųjų standartų, taikomų turto standartų ir priedų laikymasis.</w:t>
      </w:r>
    </w:p>
    <w:p w14:paraId="2297ECEB" w14:textId="77777777" w:rsidR="00E06512" w:rsidRPr="00C93629" w:rsidRDefault="00E06512" w:rsidP="00E06512">
      <w:pPr>
        <w:spacing w:before="40"/>
        <w:ind w:left="851" w:right="628"/>
        <w:jc w:val="both"/>
        <w:rPr>
          <w:rFonts w:ascii="Noto Sans" w:hAnsi="Noto Sans" w:cs="Noto Sans"/>
          <w:b/>
          <w:bCs/>
          <w:sz w:val="18"/>
          <w:szCs w:val="18"/>
          <w:lang w:val="lt-LT"/>
        </w:rPr>
      </w:pP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 xml:space="preserve">Atlikdamas </w:t>
      </w:r>
      <w:r w:rsidRPr="00C93629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vertinimą</w:t>
      </w: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 xml:space="preserve">, </w:t>
      </w:r>
      <w:r w:rsidRPr="00C93629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vertintojas</w:t>
      </w: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</w:t>
      </w:r>
      <w:r w:rsidRPr="00C93629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privalo</w:t>
      </w: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atitikti vertintojo veiklos principus.</w:t>
      </w:r>
    </w:p>
    <w:p w14:paraId="3968A5A6" w14:textId="77777777" w:rsidR="00E06512" w:rsidRPr="00C93629" w:rsidRDefault="00E06512" w:rsidP="00E06512">
      <w:pPr>
        <w:pStyle w:val="Heading31"/>
        <w:numPr>
          <w:ilvl w:val="0"/>
          <w:numId w:val="3"/>
        </w:numPr>
        <w:tabs>
          <w:tab w:val="left" w:pos="1560"/>
        </w:tabs>
        <w:spacing w:before="148"/>
        <w:ind w:left="1560" w:hanging="709"/>
        <w:rPr>
          <w:rFonts w:ascii="Noto Sans" w:hAnsi="Noto Sans" w:cs="Noto Sans"/>
          <w:b w:val="0"/>
          <w:bCs w:val="0"/>
        </w:rPr>
      </w:pPr>
      <w:r w:rsidRPr="00C93629">
        <w:rPr>
          <w:rFonts w:ascii="Noto Sans" w:hAnsi="Noto Sans" w:cs="Noto Sans"/>
        </w:rPr>
        <w:t>Vertintojo veiklos principai</w:t>
      </w:r>
    </w:p>
    <w:p w14:paraId="7EA7A692" w14:textId="77777777" w:rsidR="00E06512" w:rsidRPr="00C93629" w:rsidRDefault="00E06512" w:rsidP="00E06512">
      <w:pPr>
        <w:pStyle w:val="ListParagraph"/>
        <w:numPr>
          <w:ilvl w:val="1"/>
          <w:numId w:val="4"/>
        </w:numPr>
        <w:tabs>
          <w:tab w:val="left" w:pos="1560"/>
        </w:tabs>
        <w:spacing w:before="86" w:line="249" w:lineRule="auto"/>
        <w:ind w:left="1560" w:hanging="709"/>
        <w:rPr>
          <w:rFonts w:ascii="Noto Sans" w:hAnsi="Noto Sans" w:cs="Noto Sans"/>
          <w:b/>
          <w:bCs/>
          <w:sz w:val="18"/>
          <w:szCs w:val="18"/>
        </w:rPr>
      </w:pPr>
      <w:r w:rsidRPr="00C93629">
        <w:rPr>
          <w:rFonts w:ascii="Noto Sans" w:hAnsi="Noto Sans" w:cs="Noto Sans"/>
          <w:b/>
          <w:bCs/>
          <w:sz w:val="18"/>
        </w:rPr>
        <w:t>Etika</w:t>
      </w:r>
    </w:p>
    <w:p w14:paraId="00AE2402" w14:textId="77777777" w:rsidR="00E06512" w:rsidRPr="00C93629" w:rsidRDefault="00E06512" w:rsidP="00E06512">
      <w:pPr>
        <w:pStyle w:val="ListParagraph"/>
        <w:tabs>
          <w:tab w:val="left" w:pos="1560"/>
        </w:tabs>
        <w:spacing w:before="40" w:line="249" w:lineRule="auto"/>
        <w:ind w:left="1560" w:right="628"/>
        <w:jc w:val="both"/>
        <w:rPr>
          <w:rFonts w:ascii="Noto Sans" w:hAnsi="Noto Sans" w:cs="Noto Sans"/>
          <w:sz w:val="18"/>
          <w:szCs w:val="18"/>
        </w:rPr>
      </w:pPr>
      <w:r w:rsidRPr="00C93629">
        <w:rPr>
          <w:rFonts w:ascii="Noto Sans" w:hAnsi="Noto Sans" w:cs="Noto Sans"/>
          <w:iCs/>
          <w:sz w:val="18"/>
          <w:szCs w:val="18"/>
        </w:rPr>
        <w:t xml:space="preserve">Norėdamas skatinti ir išsaugoti visuomenės pasitikėjimą bei pateikti nešališką </w:t>
      </w:r>
      <w:r w:rsidRPr="00C93629">
        <w:rPr>
          <w:rFonts w:ascii="Noto Sans" w:hAnsi="Noto Sans" w:cs="Noto Sans"/>
          <w:i/>
          <w:sz w:val="18"/>
          <w:szCs w:val="18"/>
        </w:rPr>
        <w:t>vertinimą,</w:t>
      </w:r>
      <w:r w:rsidRPr="00C93629">
        <w:rPr>
          <w:rFonts w:ascii="Noto Sans" w:hAnsi="Noto Sans" w:cs="Noto Sans"/>
          <w:iCs/>
          <w:sz w:val="18"/>
          <w:szCs w:val="18"/>
        </w:rPr>
        <w:t xml:space="preserve"> </w:t>
      </w:r>
      <w:r w:rsidRPr="00C93629">
        <w:rPr>
          <w:rFonts w:ascii="Noto Sans" w:hAnsi="Noto Sans" w:cs="Noto Sans"/>
          <w:i/>
          <w:sz w:val="18"/>
          <w:szCs w:val="18"/>
        </w:rPr>
        <w:t>vertintojas</w:t>
      </w:r>
      <w:r w:rsidRPr="00C93629">
        <w:rPr>
          <w:rFonts w:ascii="Noto Sans" w:hAnsi="Noto Sans" w:cs="Noto Sans"/>
          <w:iCs/>
          <w:sz w:val="18"/>
          <w:szCs w:val="18"/>
        </w:rPr>
        <w:t xml:space="preserve"> privalo laikytis šių etikos principų: sąžiningumo, objektyvumo, nešališkumo, konfidencialumo, kompetentingumo ir profesionalumo.</w:t>
      </w:r>
    </w:p>
    <w:p w14:paraId="33A802AC" w14:textId="77777777" w:rsidR="00E06512" w:rsidRPr="00C93629" w:rsidRDefault="00E06512" w:rsidP="00E06512">
      <w:pPr>
        <w:pStyle w:val="ListParagraph"/>
        <w:numPr>
          <w:ilvl w:val="1"/>
          <w:numId w:val="4"/>
        </w:numPr>
        <w:tabs>
          <w:tab w:val="left" w:pos="1560"/>
        </w:tabs>
        <w:spacing w:before="148" w:line="249" w:lineRule="auto"/>
        <w:ind w:left="1560" w:right="1479" w:hanging="709"/>
        <w:rPr>
          <w:rFonts w:ascii="Noto Sans" w:hAnsi="Noto Sans" w:cs="Noto Sans"/>
          <w:b/>
          <w:bCs/>
          <w:sz w:val="18"/>
          <w:szCs w:val="18"/>
        </w:rPr>
      </w:pPr>
      <w:r w:rsidRPr="00C93629">
        <w:rPr>
          <w:rFonts w:ascii="Noto Sans" w:hAnsi="Noto Sans" w:cs="Noto Sans"/>
          <w:b/>
          <w:bCs/>
          <w:sz w:val="18"/>
          <w:szCs w:val="18"/>
        </w:rPr>
        <w:t>Kompetencija</w:t>
      </w:r>
    </w:p>
    <w:p w14:paraId="4F7B3ED3" w14:textId="77777777" w:rsidR="00E06512" w:rsidRPr="00C93629" w:rsidRDefault="00E06512" w:rsidP="00E06512">
      <w:pPr>
        <w:pStyle w:val="ListParagraph"/>
        <w:tabs>
          <w:tab w:val="left" w:pos="1560"/>
        </w:tabs>
        <w:spacing w:before="40" w:line="249" w:lineRule="auto"/>
        <w:ind w:left="1560" w:right="628"/>
        <w:jc w:val="both"/>
        <w:rPr>
          <w:rFonts w:ascii="Noto Sans" w:hAnsi="Noto Sans" w:cs="Noto Sans"/>
          <w:sz w:val="18"/>
          <w:szCs w:val="18"/>
        </w:rPr>
      </w:pPr>
      <w:r w:rsidRPr="00C93629">
        <w:rPr>
          <w:rFonts w:ascii="Noto Sans" w:hAnsi="Noto Sans" w:cs="Noto Sans"/>
          <w:i/>
          <w:sz w:val="18"/>
          <w:szCs w:val="18"/>
        </w:rPr>
        <w:t>Vertintojas privalo</w:t>
      </w:r>
      <w:r w:rsidRPr="00C93629">
        <w:rPr>
          <w:rFonts w:ascii="Noto Sans" w:hAnsi="Noto Sans" w:cs="Noto Sans"/>
          <w:iCs/>
          <w:sz w:val="18"/>
          <w:szCs w:val="18"/>
        </w:rPr>
        <w:t xml:space="preserve"> turėti techninių įgūdžių, žinių ir patirties, reikalingų tinkamai atlikti </w:t>
      </w:r>
      <w:r w:rsidRPr="00C93629">
        <w:rPr>
          <w:rFonts w:ascii="Noto Sans" w:hAnsi="Noto Sans" w:cs="Noto Sans"/>
          <w:i/>
          <w:sz w:val="18"/>
          <w:szCs w:val="18"/>
        </w:rPr>
        <w:t>vertinimą</w:t>
      </w:r>
      <w:r w:rsidRPr="00C93629">
        <w:rPr>
          <w:rFonts w:ascii="Noto Sans" w:hAnsi="Noto Sans" w:cs="Noto Sans"/>
          <w:iCs/>
          <w:sz w:val="18"/>
          <w:szCs w:val="18"/>
        </w:rPr>
        <w:t>.</w:t>
      </w:r>
    </w:p>
    <w:p w14:paraId="46260ECA" w14:textId="77777777" w:rsidR="00E06512" w:rsidRPr="00C93629" w:rsidRDefault="00E06512" w:rsidP="00E06512">
      <w:pPr>
        <w:pStyle w:val="ListParagraph"/>
        <w:numPr>
          <w:ilvl w:val="1"/>
          <w:numId w:val="4"/>
        </w:numPr>
        <w:tabs>
          <w:tab w:val="left" w:pos="1560"/>
        </w:tabs>
        <w:spacing w:before="148" w:line="249" w:lineRule="auto"/>
        <w:ind w:left="1560" w:right="1479" w:hanging="709"/>
        <w:rPr>
          <w:rFonts w:ascii="Noto Sans" w:hAnsi="Noto Sans" w:cs="Noto Sans"/>
          <w:b/>
          <w:bCs/>
          <w:sz w:val="18"/>
          <w:szCs w:val="18"/>
        </w:rPr>
      </w:pPr>
      <w:r w:rsidRPr="00C93629">
        <w:rPr>
          <w:rFonts w:ascii="Noto Sans" w:hAnsi="Noto Sans" w:cs="Noto Sans"/>
          <w:b/>
          <w:bCs/>
          <w:sz w:val="18"/>
          <w:szCs w:val="18"/>
        </w:rPr>
        <w:t>Atitiktis</w:t>
      </w:r>
    </w:p>
    <w:p w14:paraId="3D122D5B" w14:textId="77777777" w:rsidR="00E06512" w:rsidRPr="00C93629" w:rsidRDefault="00E06512" w:rsidP="00E06512">
      <w:pPr>
        <w:pStyle w:val="ListParagraph"/>
        <w:tabs>
          <w:tab w:val="left" w:pos="1560"/>
        </w:tabs>
        <w:spacing w:before="40"/>
        <w:ind w:left="1560" w:right="628"/>
        <w:jc w:val="both"/>
        <w:rPr>
          <w:rFonts w:ascii="Noto Sans" w:hAnsi="Noto Sans" w:cs="Noto Sans"/>
          <w:sz w:val="18"/>
          <w:szCs w:val="18"/>
        </w:rPr>
      </w:pPr>
      <w:r w:rsidRPr="00C93629">
        <w:rPr>
          <w:rFonts w:ascii="Noto Sans" w:hAnsi="Noto Sans" w:cs="Noto Sans"/>
          <w:i/>
          <w:sz w:val="18"/>
          <w:szCs w:val="18"/>
        </w:rPr>
        <w:t>Vertintojas privalo</w:t>
      </w:r>
      <w:r w:rsidRPr="00C93629">
        <w:rPr>
          <w:rFonts w:ascii="Noto Sans" w:hAnsi="Noto Sans" w:cs="Noto Sans"/>
          <w:iCs/>
          <w:sz w:val="18"/>
          <w:szCs w:val="18"/>
        </w:rPr>
        <w:t xml:space="preserve"> atskleisti arba nurodyti ataskaitoje, kad </w:t>
      </w:r>
      <w:r w:rsidRPr="00C93629">
        <w:rPr>
          <w:rFonts w:ascii="Noto Sans" w:hAnsi="Noto Sans" w:cs="Noto Sans"/>
          <w:i/>
          <w:sz w:val="18"/>
          <w:szCs w:val="18"/>
        </w:rPr>
        <w:t xml:space="preserve">vertinimui </w:t>
      </w:r>
      <w:r w:rsidRPr="00C93629">
        <w:rPr>
          <w:rFonts w:ascii="Noto Sans" w:hAnsi="Noto Sans" w:cs="Noto Sans"/>
          <w:iCs/>
          <w:sz w:val="18"/>
          <w:szCs w:val="18"/>
        </w:rPr>
        <w:t>taikyti TVS ir parengė šiuos standartus</w:t>
      </w:r>
      <w:r w:rsidRPr="00C93629">
        <w:rPr>
          <w:rFonts w:ascii="Noto Sans" w:hAnsi="Noto Sans" w:cs="Noto Sans"/>
          <w:i/>
          <w:sz w:val="18"/>
          <w:szCs w:val="18"/>
        </w:rPr>
        <w:t xml:space="preserve"> </w:t>
      </w:r>
      <w:r w:rsidRPr="00C93629">
        <w:rPr>
          <w:rFonts w:ascii="Noto Sans" w:hAnsi="Noto Sans" w:cs="Noto Sans"/>
          <w:iCs/>
          <w:sz w:val="18"/>
          <w:szCs w:val="18"/>
        </w:rPr>
        <w:t>atitinkantį</w:t>
      </w:r>
      <w:r w:rsidRPr="00C93629">
        <w:rPr>
          <w:rFonts w:ascii="Noto Sans" w:hAnsi="Noto Sans" w:cs="Noto Sans"/>
          <w:i/>
          <w:sz w:val="18"/>
          <w:szCs w:val="18"/>
        </w:rPr>
        <w:t xml:space="preserve"> vertinimą</w:t>
      </w:r>
      <w:r w:rsidRPr="00C93629">
        <w:rPr>
          <w:rFonts w:ascii="Noto Sans" w:hAnsi="Noto Sans" w:cs="Noto Sans"/>
          <w:iCs/>
          <w:sz w:val="18"/>
          <w:szCs w:val="18"/>
        </w:rPr>
        <w:t>.</w:t>
      </w:r>
    </w:p>
    <w:p w14:paraId="7D62CAF4" w14:textId="77777777" w:rsidR="00E06512" w:rsidRPr="00C93629" w:rsidRDefault="00E06512" w:rsidP="00E06512">
      <w:pPr>
        <w:pStyle w:val="ListParagraph"/>
        <w:numPr>
          <w:ilvl w:val="1"/>
          <w:numId w:val="4"/>
        </w:numPr>
        <w:tabs>
          <w:tab w:val="left" w:pos="1560"/>
        </w:tabs>
        <w:spacing w:before="148" w:line="249" w:lineRule="auto"/>
        <w:ind w:left="1560" w:right="1479" w:hanging="709"/>
        <w:rPr>
          <w:rFonts w:ascii="Noto Sans" w:hAnsi="Noto Sans" w:cs="Noto Sans"/>
          <w:b/>
          <w:bCs/>
          <w:sz w:val="18"/>
          <w:szCs w:val="18"/>
        </w:rPr>
      </w:pPr>
      <w:r w:rsidRPr="00C93629">
        <w:rPr>
          <w:rFonts w:ascii="Noto Sans" w:hAnsi="Noto Sans" w:cs="Noto Sans"/>
          <w:b/>
          <w:bCs/>
          <w:sz w:val="18"/>
          <w:szCs w:val="18"/>
        </w:rPr>
        <w:t>Profesinis skepticizmas</w:t>
      </w:r>
    </w:p>
    <w:p w14:paraId="5210FD1B" w14:textId="77777777" w:rsidR="00E06512" w:rsidRPr="00C93629" w:rsidRDefault="00E06512" w:rsidP="00E06512">
      <w:pPr>
        <w:pStyle w:val="ListParagraph"/>
        <w:tabs>
          <w:tab w:val="left" w:pos="1560"/>
        </w:tabs>
        <w:spacing w:before="40"/>
        <w:ind w:left="1560" w:right="628"/>
        <w:jc w:val="both"/>
        <w:rPr>
          <w:rFonts w:ascii="Noto Sans" w:hAnsi="Noto Sans" w:cs="Noto Sans"/>
          <w:sz w:val="18"/>
          <w:szCs w:val="18"/>
        </w:rPr>
      </w:pPr>
      <w:r w:rsidRPr="00C93629">
        <w:rPr>
          <w:rFonts w:ascii="Noto Sans" w:hAnsi="Noto Sans" w:cs="Noto Sans"/>
          <w:sz w:val="18"/>
          <w:szCs w:val="18"/>
        </w:rPr>
        <w:t xml:space="preserve">Kiekviename </w:t>
      </w:r>
      <w:r w:rsidRPr="00C93629">
        <w:rPr>
          <w:rFonts w:ascii="Noto Sans" w:hAnsi="Noto Sans" w:cs="Noto Sans"/>
          <w:i/>
          <w:iCs/>
          <w:sz w:val="18"/>
          <w:szCs w:val="18"/>
        </w:rPr>
        <w:t>vertinimo</w:t>
      </w:r>
      <w:r w:rsidRPr="00C93629">
        <w:rPr>
          <w:rFonts w:ascii="Noto Sans" w:hAnsi="Noto Sans" w:cs="Noto Sans"/>
          <w:sz w:val="18"/>
          <w:szCs w:val="18"/>
        </w:rPr>
        <w:t xml:space="preserve"> etape </w:t>
      </w:r>
      <w:r w:rsidRPr="00C93629">
        <w:rPr>
          <w:rFonts w:ascii="Noto Sans" w:hAnsi="Noto Sans" w:cs="Noto Sans"/>
          <w:i/>
          <w:iCs/>
          <w:sz w:val="18"/>
          <w:szCs w:val="18"/>
        </w:rPr>
        <w:t>vertintojas privalo</w:t>
      </w:r>
      <w:r w:rsidRPr="00C93629">
        <w:rPr>
          <w:rFonts w:ascii="Noto Sans" w:hAnsi="Noto Sans" w:cs="Noto Sans"/>
          <w:sz w:val="18"/>
          <w:szCs w:val="18"/>
        </w:rPr>
        <w:t xml:space="preserve"> taikyti tinkamą </w:t>
      </w:r>
      <w:r w:rsidRPr="00C93629">
        <w:rPr>
          <w:rFonts w:ascii="Noto Sans" w:hAnsi="Noto Sans" w:cs="Noto Sans"/>
          <w:i/>
          <w:iCs/>
          <w:sz w:val="18"/>
          <w:szCs w:val="18"/>
        </w:rPr>
        <w:t>profesinį skepticizmą</w:t>
      </w:r>
      <w:r w:rsidRPr="00C93629">
        <w:rPr>
          <w:rFonts w:ascii="Noto Sans" w:hAnsi="Noto Sans" w:cs="Noto Sans"/>
          <w:sz w:val="18"/>
          <w:szCs w:val="18"/>
        </w:rPr>
        <w:t>.</w:t>
      </w:r>
    </w:p>
    <w:p w14:paraId="70CAE86C" w14:textId="77777777" w:rsidR="00E06512" w:rsidRPr="00C93629" w:rsidRDefault="00E06512" w:rsidP="00E06512">
      <w:pPr>
        <w:pStyle w:val="Heading31"/>
        <w:numPr>
          <w:ilvl w:val="0"/>
          <w:numId w:val="2"/>
        </w:numPr>
        <w:tabs>
          <w:tab w:val="left" w:pos="1560"/>
        </w:tabs>
        <w:spacing w:before="148"/>
        <w:ind w:left="1560" w:right="628" w:hanging="709"/>
        <w:rPr>
          <w:rFonts w:ascii="Noto Sans" w:hAnsi="Noto Sans" w:cs="Noto Sans"/>
        </w:rPr>
      </w:pPr>
      <w:r w:rsidRPr="00C93629">
        <w:rPr>
          <w:rFonts w:ascii="Noto Sans" w:hAnsi="Noto Sans" w:cs="Noto Sans"/>
        </w:rPr>
        <w:t>Vertinimo proceso kokybės kontrolė</w:t>
      </w:r>
    </w:p>
    <w:p w14:paraId="33435B7D" w14:textId="77777777" w:rsidR="00E06512" w:rsidRPr="00C93629" w:rsidRDefault="00E06512" w:rsidP="00E06512">
      <w:p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20.01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 xml:space="preserve">Privalu </w:t>
      </w:r>
      <w:r w:rsidRPr="00C93629">
        <w:rPr>
          <w:rFonts w:ascii="Noto Sans" w:hAnsi="Noto Sans" w:cs="Noto Sans"/>
          <w:sz w:val="18"/>
          <w:szCs w:val="18"/>
          <w:lang w:val="lt-LT"/>
        </w:rPr>
        <w:t>vykdyti vertinimo proceso kokybės kontrolę (toliau – kokybės kontrolė).</w:t>
      </w:r>
    </w:p>
    <w:p w14:paraId="3A19A5C0" w14:textId="77777777" w:rsidR="00E06512" w:rsidRPr="00C93629" w:rsidRDefault="00E06512" w:rsidP="00E06512">
      <w:p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20.02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  <w:t xml:space="preserve">Kokybės kontrolė padeda užtikrinti, kad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vertinimai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yra atliekami objektyviai, skaidriai, nešališkai ir atitinka TVS reikalavimus.</w:t>
      </w:r>
    </w:p>
    <w:p w14:paraId="04F87A57" w14:textId="5C0F8354" w:rsidR="00E06512" w:rsidRPr="00C93629" w:rsidRDefault="00E06512" w:rsidP="00E06512">
      <w:p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20.03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  <w:t xml:space="preserve">Kokybės kontrolės mastas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būti nustatomas atsižvelgiant į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vertinimo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numatomą panaudojimą</w:t>
      </w:r>
      <w:r w:rsidRPr="00C93629">
        <w:rPr>
          <w:rFonts w:ascii="Noto Sans" w:hAnsi="Noto Sans" w:cs="Noto Sans"/>
          <w:sz w:val="18"/>
          <w:szCs w:val="18"/>
          <w:lang w:val="lt-LT"/>
        </w:rPr>
        <w:t>,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 xml:space="preserve"> numatomą naudotoją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, vertinamą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turtą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ir (arba)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įsipareigojimą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bei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vertinimo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sudėtingumą.</w:t>
      </w:r>
    </w:p>
    <w:p w14:paraId="60E19FD8" w14:textId="77777777" w:rsidR="00C27C35" w:rsidRPr="00C93629" w:rsidRDefault="00C27C35" w:rsidP="00C27C35">
      <w:p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20.04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  <w:t xml:space="preserve">Kokybės kontrolė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įvertinti ar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vertinimo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metu padaryti sprendimai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 xml:space="preserve"> vertei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nustatyti, tame tarpe yra pagrįsti ir nešališki.</w:t>
      </w:r>
    </w:p>
    <w:p w14:paraId="4ABE10E3" w14:textId="77777777" w:rsidR="00C27C35" w:rsidRPr="00C93629" w:rsidRDefault="00C27C35" w:rsidP="00C27C35">
      <w:p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20.05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  <w:t xml:space="preserve">Kokybės kontrolė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būti fiksuojama dokumentuose. Dokumentų turinys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būti pakankamai detalus, kad leistų kitam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vertintojui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taikant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profesionalų sprendimą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suprasti kokybės kontrolės efektyvumą.</w:t>
      </w:r>
    </w:p>
    <w:p w14:paraId="789AB21F" w14:textId="77777777" w:rsidR="00C27C35" w:rsidRPr="00C93629" w:rsidRDefault="00C27C35" w:rsidP="00C27C35">
      <w:p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20.06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  <w:t xml:space="preserve">Kokybės kontrolė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būti periodiškai peržiūrima, užtikrinant, kad jos vientisumas ir išsamumas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vertės nustatymo dieną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yra tinkamas. Periodinė kokybės kontrolės peržiūra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būti dokumentuojama.</w:t>
      </w:r>
    </w:p>
    <w:p w14:paraId="61B05169" w14:textId="77777777" w:rsidR="00C27C35" w:rsidRPr="00C93629" w:rsidRDefault="00C27C35" w:rsidP="00C27C35">
      <w:p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lastRenderedPageBreak/>
        <w:t>20.07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  <w:t xml:space="preserve">Jei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vertintojas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geba valdyti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vertinimo riziką</w:t>
      </w:r>
      <w:r w:rsidRPr="00C93629">
        <w:rPr>
          <w:rFonts w:ascii="Noto Sans" w:hAnsi="Noto Sans" w:cs="Noto Sans"/>
          <w:sz w:val="18"/>
          <w:szCs w:val="18"/>
          <w:lang w:val="lt-LT"/>
        </w:rPr>
        <w:t>, jis gali atlikti stebėsenos procedūras pagal savo nustatytas atitikties ir kontrolės politiką bei procedūras.</w:t>
      </w:r>
    </w:p>
    <w:p w14:paraId="4430169D" w14:textId="77777777" w:rsidR="00C27C35" w:rsidRPr="00C93629" w:rsidRDefault="00C27C35" w:rsidP="00C27C35">
      <w:p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20.08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Vertintojas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padaryti išvadą, kad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vertinimo rizikos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lygis, atsižvelgiant į taikomas kontrolės priemones, yra tinkamas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numatomam panaudojimui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,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numatomam naudotojui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, vertinamo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turto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ar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įsipareigojimo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charakteristikoms ir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vertinimo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sudėtingumui.</w:t>
      </w:r>
    </w:p>
    <w:p w14:paraId="03E06D57" w14:textId="77777777" w:rsidR="00C27C35" w:rsidRPr="00C93629" w:rsidRDefault="00C27C35" w:rsidP="00C27C35">
      <w:pPr>
        <w:tabs>
          <w:tab w:val="left" w:pos="1560"/>
        </w:tabs>
        <w:spacing w:before="148" w:line="249" w:lineRule="auto"/>
        <w:ind w:left="1560" w:right="742" w:hanging="709"/>
        <w:rPr>
          <w:rFonts w:ascii="Noto Sans" w:hAnsi="Noto Sans" w:cs="Noto Sans"/>
          <w:b/>
          <w:sz w:val="18"/>
          <w:szCs w:val="18"/>
          <w:lang w:val="lt-LT"/>
        </w:rPr>
      </w:pPr>
      <w:r w:rsidRPr="00C93629">
        <w:rPr>
          <w:rFonts w:ascii="Noto Sans" w:hAnsi="Noto Sans" w:cs="Noto Sans"/>
          <w:b/>
          <w:sz w:val="18"/>
          <w:szCs w:val="18"/>
          <w:lang w:val="lt-LT"/>
        </w:rPr>
        <w:t>30.</w:t>
      </w:r>
      <w:r w:rsidRPr="00C93629">
        <w:rPr>
          <w:rFonts w:ascii="Noto Sans" w:hAnsi="Noto Sans" w:cs="Noto Sans"/>
          <w:b/>
          <w:sz w:val="18"/>
          <w:szCs w:val="18"/>
          <w:lang w:val="lt-LT"/>
        </w:rPr>
        <w:tab/>
        <w:t>Specialistų arba paslaugų organizacijų pasitelkimas</w:t>
      </w:r>
    </w:p>
    <w:p w14:paraId="53CF5016" w14:textId="77777777" w:rsidR="00C27C35" w:rsidRPr="00C93629" w:rsidRDefault="00C27C35" w:rsidP="00C27C35">
      <w:p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30.01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  <w:t xml:space="preserve">Jei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vertintojui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trūksta reikiamų techninių įgūdžių, patirties,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duomenų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ar žinių, reikalingų visiems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vertinimo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aspektams atlikti, </w:t>
      </w:r>
      <w:r w:rsidRPr="00C93629">
        <w:rPr>
          <w:rFonts w:ascii="Noto Sans" w:hAnsi="Noto Sans" w:cs="Noto Sans"/>
          <w:i/>
          <w:sz w:val="18"/>
          <w:lang w:val="lt-LT"/>
        </w:rPr>
        <w:t>vertintojas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gali pasitelkti </w:t>
      </w:r>
      <w:r w:rsidRPr="00C93629">
        <w:rPr>
          <w:rFonts w:ascii="Noto Sans" w:hAnsi="Noto Sans" w:cs="Noto Sans"/>
          <w:i/>
          <w:sz w:val="18"/>
          <w:lang w:val="lt-LT"/>
        </w:rPr>
        <w:t>specialistą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arba </w:t>
      </w:r>
      <w:r w:rsidRPr="00C93629">
        <w:rPr>
          <w:rFonts w:ascii="Noto Sans" w:hAnsi="Noto Sans" w:cs="Noto Sans"/>
          <w:i/>
          <w:sz w:val="18"/>
          <w:lang w:val="lt-LT"/>
        </w:rPr>
        <w:t>paslaugų organizaciją</w:t>
      </w:r>
      <w:r w:rsidRPr="00C93629">
        <w:rPr>
          <w:rFonts w:ascii="Noto Sans" w:hAnsi="Noto Sans" w:cs="Noto Sans"/>
          <w:sz w:val="18"/>
          <w:szCs w:val="18"/>
          <w:lang w:val="lt-LT"/>
        </w:rPr>
        <w:t>, jei dėl to susitariama ir tai atskleidžiama.</w:t>
      </w:r>
    </w:p>
    <w:p w14:paraId="53403FA5" w14:textId="77777777" w:rsidR="00C27C35" w:rsidRPr="00C93629" w:rsidRDefault="00C27C35" w:rsidP="006A5B0D">
      <w:pPr>
        <w:tabs>
          <w:tab w:val="left" w:pos="1560"/>
        </w:tabs>
        <w:spacing w:before="108" w:after="0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30.02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</w:r>
      <w:r w:rsidRPr="00C93629">
        <w:rPr>
          <w:rFonts w:ascii="Noto Sans" w:hAnsi="Noto Sans" w:cs="Noto Sans"/>
          <w:iCs/>
          <w:sz w:val="18"/>
          <w:lang w:val="lt-LT"/>
        </w:rPr>
        <w:t xml:space="preserve">Prieš pasitelkdamas </w:t>
      </w:r>
      <w:r w:rsidRPr="00C93629">
        <w:rPr>
          <w:rFonts w:ascii="Noto Sans" w:hAnsi="Noto Sans" w:cs="Noto Sans"/>
          <w:i/>
          <w:sz w:val="18"/>
          <w:lang w:val="lt-LT"/>
        </w:rPr>
        <w:t>specialistą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ar </w:t>
      </w:r>
      <w:r w:rsidRPr="00C93629">
        <w:rPr>
          <w:rFonts w:ascii="Noto Sans" w:hAnsi="Noto Sans" w:cs="Noto Sans"/>
          <w:i/>
          <w:sz w:val="18"/>
          <w:lang w:val="lt-LT"/>
        </w:rPr>
        <w:t>paslaugų organizaciją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, </w:t>
      </w:r>
      <w:r w:rsidRPr="00C93629">
        <w:rPr>
          <w:rFonts w:ascii="Noto Sans" w:hAnsi="Noto Sans" w:cs="Noto Sans"/>
          <w:i/>
          <w:sz w:val="18"/>
          <w:lang w:val="lt-LT"/>
        </w:rPr>
        <w:t>vertintojas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</w:t>
      </w:r>
      <w:r w:rsidRPr="00C93629">
        <w:rPr>
          <w:rFonts w:ascii="Noto Sans" w:hAnsi="Noto Sans" w:cs="Noto Sans"/>
          <w:i/>
          <w:sz w:val="18"/>
          <w:lang w:val="lt-LT"/>
        </w:rPr>
        <w:t>privalo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įvertinti ir dokumentais patvirtinti </w:t>
      </w:r>
      <w:r w:rsidRPr="00C93629">
        <w:rPr>
          <w:rFonts w:ascii="Noto Sans" w:hAnsi="Noto Sans" w:cs="Noto Sans"/>
          <w:i/>
          <w:sz w:val="18"/>
          <w:lang w:val="lt-LT"/>
        </w:rPr>
        <w:t>specialisto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ar </w:t>
      </w:r>
      <w:r w:rsidRPr="00C93629">
        <w:rPr>
          <w:rFonts w:ascii="Noto Sans" w:hAnsi="Noto Sans" w:cs="Noto Sans"/>
          <w:i/>
          <w:sz w:val="18"/>
          <w:lang w:val="lt-LT"/>
        </w:rPr>
        <w:t>paslaugų organizacijos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žinias, įgūdžius ir gebėjimus, kurie, be kitų, yra šie: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</w:t>
      </w:r>
    </w:p>
    <w:p w14:paraId="62D68D1B" w14:textId="77777777" w:rsidR="00C27C35" w:rsidRPr="00C93629" w:rsidRDefault="00C27C35" w:rsidP="00201BE4">
      <w:pPr>
        <w:tabs>
          <w:tab w:val="left" w:pos="1985"/>
        </w:tabs>
        <w:spacing w:after="0" w:line="249" w:lineRule="auto"/>
        <w:ind w:left="1985" w:right="1479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(a)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  <w:t>atliekamo darbo patirtis,</w:t>
      </w:r>
    </w:p>
    <w:p w14:paraId="5BF041CA" w14:textId="77777777" w:rsidR="00C27C35" w:rsidRPr="00C93629" w:rsidRDefault="00C27C35" w:rsidP="00201BE4">
      <w:pPr>
        <w:tabs>
          <w:tab w:val="left" w:pos="1985"/>
        </w:tabs>
        <w:spacing w:after="0" w:line="249" w:lineRule="auto"/>
        <w:ind w:left="1985" w:right="1479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(b)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</w:r>
      <w:r w:rsidRPr="00C93629">
        <w:rPr>
          <w:rFonts w:ascii="Noto Sans" w:hAnsi="Noto Sans" w:cs="Noto Sans"/>
          <w:i/>
          <w:sz w:val="18"/>
          <w:lang w:val="lt-LT"/>
        </w:rPr>
        <w:t>specialisto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ar </w:t>
      </w:r>
      <w:r w:rsidRPr="00C93629">
        <w:rPr>
          <w:rFonts w:ascii="Noto Sans" w:hAnsi="Noto Sans" w:cs="Noto Sans"/>
          <w:i/>
          <w:sz w:val="18"/>
          <w:lang w:val="lt-LT"/>
        </w:rPr>
        <w:t>paslaugų organizacijos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profesinis sertifikavimas, licencija ar profesinė akreditacija atitinkamoje srityje,</w:t>
      </w:r>
    </w:p>
    <w:p w14:paraId="2B18BB53" w14:textId="77777777" w:rsidR="00C27C35" w:rsidRPr="00C93629" w:rsidRDefault="00C27C35" w:rsidP="00201BE4">
      <w:pPr>
        <w:tabs>
          <w:tab w:val="left" w:pos="1985"/>
        </w:tabs>
        <w:spacing w:after="0" w:line="249" w:lineRule="auto"/>
        <w:ind w:left="1985" w:right="1479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(c)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</w:r>
      <w:r w:rsidRPr="00C93629">
        <w:rPr>
          <w:rFonts w:ascii="Noto Sans" w:hAnsi="Noto Sans" w:cs="Noto Sans"/>
          <w:i/>
          <w:sz w:val="18"/>
          <w:lang w:val="lt-LT"/>
        </w:rPr>
        <w:t>specialisto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ar </w:t>
      </w:r>
      <w:r w:rsidRPr="00C93629">
        <w:rPr>
          <w:rFonts w:ascii="Noto Sans" w:hAnsi="Noto Sans" w:cs="Noto Sans"/>
          <w:i/>
          <w:sz w:val="18"/>
          <w:lang w:val="lt-LT"/>
        </w:rPr>
        <w:t>paslaugų organizacijos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reputacija ir autoritetas konkrečioje srityje.</w:t>
      </w:r>
    </w:p>
    <w:p w14:paraId="6ED729EE" w14:textId="77777777" w:rsidR="00C27C35" w:rsidRPr="00C93629" w:rsidRDefault="00C27C35" w:rsidP="00C27C35">
      <w:p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30.03</w:t>
      </w:r>
      <w:r w:rsidRPr="00C93629">
        <w:rPr>
          <w:rFonts w:ascii="Noto Sans" w:hAnsi="Noto Sans" w:cs="Noto Sans"/>
          <w:sz w:val="18"/>
          <w:szCs w:val="18"/>
          <w:lang w:val="lt-LT"/>
        </w:rPr>
        <w:tab/>
        <w:t xml:space="preserve">Jei pasitelkiamas </w:t>
      </w:r>
      <w:r w:rsidRPr="00C93629">
        <w:rPr>
          <w:rFonts w:ascii="Noto Sans" w:hAnsi="Noto Sans" w:cs="Noto Sans"/>
          <w:i/>
          <w:sz w:val="18"/>
          <w:lang w:val="lt-LT"/>
        </w:rPr>
        <w:t>specialistas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ar </w:t>
      </w:r>
      <w:r w:rsidRPr="00C93629">
        <w:rPr>
          <w:rFonts w:ascii="Noto Sans" w:hAnsi="Noto Sans" w:cs="Noto Sans"/>
          <w:i/>
          <w:sz w:val="18"/>
          <w:lang w:val="lt-LT"/>
        </w:rPr>
        <w:t>paslaugų organizacija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, </w:t>
      </w:r>
      <w:r w:rsidRPr="00C93629">
        <w:rPr>
          <w:rFonts w:ascii="Noto Sans" w:hAnsi="Noto Sans" w:cs="Noto Sans"/>
          <w:i/>
          <w:sz w:val="18"/>
          <w:lang w:val="lt-LT"/>
        </w:rPr>
        <w:t>vertintojas privalo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suprasti jų vykdomą procesą ir padarytas išvadas, kad, remdamasis </w:t>
      </w:r>
      <w:r w:rsidRPr="00C93629">
        <w:rPr>
          <w:rFonts w:ascii="Noto Sans" w:hAnsi="Noto Sans" w:cs="Noto Sans"/>
          <w:i/>
          <w:sz w:val="18"/>
          <w:lang w:val="lt-LT"/>
        </w:rPr>
        <w:t>vertintojo profesionaliu sprendimu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, galėtų pasikliauti </w:t>
      </w:r>
      <w:r w:rsidRPr="00C93629">
        <w:rPr>
          <w:rFonts w:ascii="Noto Sans" w:hAnsi="Noto Sans" w:cs="Noto Sans"/>
          <w:i/>
          <w:sz w:val="18"/>
          <w:lang w:val="lt-LT"/>
        </w:rPr>
        <w:t>specialisto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ar </w:t>
      </w:r>
      <w:r w:rsidRPr="00C93629">
        <w:rPr>
          <w:rFonts w:ascii="Noto Sans" w:hAnsi="Noto Sans" w:cs="Noto Sans"/>
          <w:i/>
          <w:sz w:val="18"/>
          <w:lang w:val="lt-LT"/>
        </w:rPr>
        <w:t>paslaugų organizacijos</w:t>
      </w:r>
      <w:r w:rsidRPr="00C93629">
        <w:rPr>
          <w:rFonts w:ascii="Noto Sans" w:hAnsi="Noto Sans" w:cs="Noto Sans"/>
          <w:iCs/>
          <w:sz w:val="18"/>
          <w:lang w:val="lt-LT"/>
        </w:rPr>
        <w:t xml:space="preserve"> atliktu darbu. </w:t>
      </w:r>
    </w:p>
    <w:p w14:paraId="4F7073F0" w14:textId="77777777" w:rsidR="00C27C35" w:rsidRPr="00C93629" w:rsidRDefault="00C27C35" w:rsidP="00C27C35">
      <w:pPr>
        <w:widowControl w:val="0"/>
        <w:numPr>
          <w:ilvl w:val="0"/>
          <w:numId w:val="5"/>
        </w:numPr>
        <w:tabs>
          <w:tab w:val="left" w:pos="1560"/>
        </w:tabs>
        <w:spacing w:before="108" w:after="0" w:line="249" w:lineRule="auto"/>
        <w:ind w:left="1560" w:right="742" w:hanging="709"/>
        <w:rPr>
          <w:rFonts w:ascii="Noto Sans" w:hAnsi="Noto Sans" w:cs="Noto Sans"/>
          <w:b/>
          <w:bCs/>
          <w:sz w:val="18"/>
          <w:szCs w:val="18"/>
          <w:lang w:val="lt-LT"/>
        </w:rPr>
      </w:pP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>Atitiktis</w:t>
      </w:r>
    </w:p>
    <w:p w14:paraId="281CAE5B" w14:textId="77777777" w:rsidR="00C27C35" w:rsidRPr="00C93629" w:rsidRDefault="00C27C35" w:rsidP="00C27C35">
      <w:pPr>
        <w:widowControl w:val="0"/>
        <w:numPr>
          <w:ilvl w:val="1"/>
          <w:numId w:val="5"/>
        </w:numPr>
        <w:tabs>
          <w:tab w:val="left" w:pos="1560"/>
        </w:tabs>
        <w:spacing w:before="108" w:after="0" w:line="249" w:lineRule="auto"/>
        <w:ind w:left="1560" w:right="628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 xml:space="preserve">Kad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 xml:space="preserve">vertinimas </w:t>
      </w:r>
      <w:r w:rsidRPr="00C93629">
        <w:rPr>
          <w:rFonts w:ascii="Noto Sans" w:hAnsi="Noto Sans" w:cs="Noto Sans"/>
          <w:sz w:val="18"/>
          <w:szCs w:val="18"/>
          <w:lang w:val="lt-LT"/>
        </w:rPr>
        <w:t>atitiktų TVS reikalavimus, jis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 xml:space="preserve"> turi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atitikti bendrųjų standartų, jų priedų ir, jei taikytina, turto standartų reikalavimus.</w:t>
      </w:r>
    </w:p>
    <w:p w14:paraId="6F59AFAC" w14:textId="77777777" w:rsidR="00C27C35" w:rsidRPr="00C93629" w:rsidRDefault="00C27C35" w:rsidP="00C27C35">
      <w:pPr>
        <w:widowControl w:val="0"/>
        <w:numPr>
          <w:ilvl w:val="1"/>
          <w:numId w:val="5"/>
        </w:numPr>
        <w:tabs>
          <w:tab w:val="left" w:pos="1560"/>
        </w:tabs>
        <w:spacing w:before="108" w:after="0" w:line="249" w:lineRule="auto"/>
        <w:ind w:left="1560" w:right="628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 xml:space="preserve">TVS pateikti privalomieji reikalavimai, kuriuos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privalu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įvykdyti, siekiant konstatuoti, kad atliktas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vertinimas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atitinka TVS reikalavimus.</w:t>
      </w:r>
    </w:p>
    <w:p w14:paraId="5EB558C9" w14:textId="77777777" w:rsidR="00C27C35" w:rsidRPr="00C93629" w:rsidRDefault="00C27C35" w:rsidP="00C27C35">
      <w:pPr>
        <w:pStyle w:val="ListParagraph"/>
        <w:numPr>
          <w:ilvl w:val="1"/>
          <w:numId w:val="5"/>
        </w:numPr>
        <w:tabs>
          <w:tab w:val="left" w:pos="1560"/>
        </w:tabs>
        <w:autoSpaceDE w:val="0"/>
        <w:autoSpaceDN w:val="0"/>
        <w:spacing w:before="108" w:line="211" w:lineRule="auto"/>
        <w:ind w:left="1560" w:right="628" w:hanging="709"/>
        <w:jc w:val="both"/>
        <w:rPr>
          <w:rFonts w:ascii="Noto Sans" w:hAnsi="Noto Sans" w:cs="Noto Sans"/>
          <w:sz w:val="18"/>
        </w:rPr>
      </w:pPr>
      <w:r w:rsidRPr="00C93629">
        <w:rPr>
          <w:rFonts w:ascii="Noto Sans" w:hAnsi="Noto Sans" w:cs="Noto Sans"/>
          <w:sz w:val="18"/>
        </w:rPr>
        <w:t xml:space="preserve">Tam tikri TVS nuostatai nenurodo ir neįpareigoja atlikti jokių konkrečių veiksmų, tačiau pateikia pagrindinius principus ir koncepcijas, į kuriuos atliekant </w:t>
      </w:r>
      <w:r w:rsidRPr="00C93629">
        <w:rPr>
          <w:rFonts w:ascii="Noto Sans" w:hAnsi="Noto Sans" w:cs="Noto Sans"/>
          <w:i/>
          <w:iCs/>
          <w:sz w:val="18"/>
        </w:rPr>
        <w:t>vertinimą</w:t>
      </w:r>
      <w:r w:rsidRPr="00C93629">
        <w:rPr>
          <w:rFonts w:ascii="Noto Sans" w:hAnsi="Noto Sans" w:cs="Noto Sans"/>
          <w:sz w:val="18"/>
        </w:rPr>
        <w:t xml:space="preserve"> </w:t>
      </w:r>
      <w:r w:rsidRPr="00C93629">
        <w:rPr>
          <w:rFonts w:ascii="Noto Sans" w:hAnsi="Noto Sans" w:cs="Noto Sans"/>
          <w:i/>
          <w:iCs/>
          <w:sz w:val="18"/>
        </w:rPr>
        <w:t>reikėtų</w:t>
      </w:r>
      <w:r w:rsidRPr="00C93629">
        <w:rPr>
          <w:rFonts w:ascii="Noto Sans" w:hAnsi="Noto Sans" w:cs="Noto Sans"/>
          <w:sz w:val="18"/>
        </w:rPr>
        <w:t xml:space="preserve"> atsižvelgti.</w:t>
      </w:r>
    </w:p>
    <w:p w14:paraId="2EFEDFCB" w14:textId="77777777" w:rsidR="00286009" w:rsidRPr="00C93629" w:rsidRDefault="00286009" w:rsidP="00286009">
      <w:pPr>
        <w:pStyle w:val="ListParagraph"/>
        <w:numPr>
          <w:ilvl w:val="1"/>
          <w:numId w:val="5"/>
        </w:numPr>
        <w:tabs>
          <w:tab w:val="left" w:pos="1560"/>
        </w:tabs>
        <w:autoSpaceDE w:val="0"/>
        <w:autoSpaceDN w:val="0"/>
        <w:spacing w:before="108" w:line="211" w:lineRule="auto"/>
        <w:ind w:left="1560" w:right="628" w:hanging="709"/>
        <w:jc w:val="both"/>
        <w:rPr>
          <w:rFonts w:ascii="Noto Sans" w:hAnsi="Noto Sans" w:cs="Noto Sans"/>
          <w:sz w:val="18"/>
        </w:rPr>
      </w:pPr>
      <w:r w:rsidRPr="00C93629">
        <w:rPr>
          <w:rFonts w:ascii="Noto Sans" w:hAnsi="Noto Sans" w:cs="Noto Sans"/>
          <w:sz w:val="18"/>
        </w:rPr>
        <w:t xml:space="preserve">Jei teisiniai, norminiai, reguliavimo ir (arba) kiti reikalavimai, tinkami </w:t>
      </w:r>
      <w:r w:rsidRPr="00C93629">
        <w:rPr>
          <w:rFonts w:ascii="Noto Sans" w:hAnsi="Noto Sans" w:cs="Noto Sans"/>
          <w:i/>
          <w:iCs/>
          <w:sz w:val="18"/>
        </w:rPr>
        <w:t>vertinimo</w:t>
      </w:r>
      <w:r w:rsidRPr="00C93629">
        <w:rPr>
          <w:rFonts w:ascii="Noto Sans" w:hAnsi="Noto Sans" w:cs="Noto Sans"/>
          <w:sz w:val="18"/>
        </w:rPr>
        <w:t xml:space="preserve"> tikslui ir </w:t>
      </w:r>
      <w:r w:rsidRPr="00C93629">
        <w:rPr>
          <w:rFonts w:ascii="Noto Sans" w:hAnsi="Noto Sans" w:cs="Noto Sans"/>
          <w:i/>
          <w:iCs/>
          <w:sz w:val="18"/>
        </w:rPr>
        <w:t>jurisdikcijai</w:t>
      </w:r>
      <w:r w:rsidRPr="00C93629">
        <w:rPr>
          <w:rFonts w:ascii="Noto Sans" w:hAnsi="Noto Sans" w:cs="Noto Sans"/>
          <w:sz w:val="18"/>
        </w:rPr>
        <w:t xml:space="preserve">, tačiau prieštarauja TVS, tokie reikalavimai </w:t>
      </w:r>
      <w:r w:rsidRPr="00C93629">
        <w:rPr>
          <w:rFonts w:ascii="Noto Sans" w:hAnsi="Noto Sans" w:cs="Noto Sans"/>
          <w:i/>
          <w:iCs/>
          <w:sz w:val="18"/>
        </w:rPr>
        <w:t>turėtų</w:t>
      </w:r>
      <w:r w:rsidRPr="00C93629">
        <w:rPr>
          <w:rFonts w:ascii="Noto Sans" w:hAnsi="Noto Sans" w:cs="Noto Sans"/>
          <w:sz w:val="18"/>
        </w:rPr>
        <w:t xml:space="preserve"> būti prioritetine tvarka paaiškinti, dokumentuoti ir nurodyti ataskaitoje, kad </w:t>
      </w:r>
      <w:r w:rsidRPr="00C93629">
        <w:rPr>
          <w:rFonts w:ascii="Noto Sans" w:hAnsi="Noto Sans" w:cs="Noto Sans"/>
          <w:i/>
          <w:iCs/>
          <w:sz w:val="18"/>
        </w:rPr>
        <w:t>vertinimas</w:t>
      </w:r>
      <w:r w:rsidRPr="00C93629">
        <w:rPr>
          <w:rFonts w:ascii="Noto Sans" w:hAnsi="Noto Sans" w:cs="Noto Sans"/>
          <w:sz w:val="18"/>
        </w:rPr>
        <w:t xml:space="preserve"> būtų atitinkantis TVS.</w:t>
      </w:r>
    </w:p>
    <w:p w14:paraId="02DC2B38" w14:textId="77777777" w:rsidR="00286009" w:rsidRPr="00C93629" w:rsidRDefault="00286009" w:rsidP="00286009">
      <w:pPr>
        <w:pStyle w:val="ListParagraph"/>
        <w:numPr>
          <w:ilvl w:val="1"/>
          <w:numId w:val="5"/>
        </w:numPr>
        <w:tabs>
          <w:tab w:val="left" w:pos="1560"/>
        </w:tabs>
        <w:autoSpaceDE w:val="0"/>
        <w:autoSpaceDN w:val="0"/>
        <w:spacing w:before="108" w:line="211" w:lineRule="auto"/>
        <w:ind w:left="1560" w:right="628" w:hanging="709"/>
        <w:jc w:val="both"/>
        <w:rPr>
          <w:rFonts w:ascii="Noto Sans" w:hAnsi="Noto Sans" w:cs="Noto Sans"/>
          <w:sz w:val="18"/>
        </w:rPr>
      </w:pPr>
      <w:r w:rsidRPr="00C93629">
        <w:rPr>
          <w:rFonts w:ascii="Noto Sans" w:hAnsi="Noto Sans" w:cs="Noto Sans"/>
          <w:sz w:val="18"/>
        </w:rPr>
        <w:t xml:space="preserve">Jei bet kokie teisiniai, norminiai, reguliavimo ir (arba) kiti autoritetingi reikalavimai, kurie turi </w:t>
      </w:r>
      <w:r w:rsidRPr="00C93629">
        <w:rPr>
          <w:rFonts w:ascii="Noto Sans" w:hAnsi="Noto Sans" w:cs="Noto Sans"/>
          <w:i/>
          <w:iCs/>
          <w:sz w:val="18"/>
        </w:rPr>
        <w:t>reikšmingos</w:t>
      </w:r>
      <w:r w:rsidRPr="00C93629">
        <w:rPr>
          <w:rFonts w:ascii="Noto Sans" w:hAnsi="Noto Sans" w:cs="Noto Sans"/>
          <w:sz w:val="18"/>
        </w:rPr>
        <w:t xml:space="preserve"> įtakos atliekamų procedūrų pobūdžiui, naudojamiems </w:t>
      </w:r>
      <w:r w:rsidRPr="00C93629">
        <w:rPr>
          <w:rFonts w:ascii="Noto Sans" w:hAnsi="Noto Sans" w:cs="Noto Sans"/>
          <w:i/>
          <w:iCs/>
          <w:sz w:val="18"/>
        </w:rPr>
        <w:t>pradiniams duomenims</w:t>
      </w:r>
      <w:r w:rsidRPr="00C93629">
        <w:rPr>
          <w:rFonts w:ascii="Noto Sans" w:hAnsi="Noto Sans" w:cs="Noto Sans"/>
          <w:sz w:val="18"/>
        </w:rPr>
        <w:t xml:space="preserve"> bei prielaidoms ir (arba) </w:t>
      </w:r>
      <w:r w:rsidRPr="00C93629">
        <w:rPr>
          <w:rFonts w:ascii="Noto Sans" w:hAnsi="Noto Sans" w:cs="Noto Sans"/>
          <w:i/>
          <w:iCs/>
          <w:sz w:val="18"/>
        </w:rPr>
        <w:t>vertei (-</w:t>
      </w:r>
      <w:proofErr w:type="spellStart"/>
      <w:r w:rsidRPr="00C93629">
        <w:rPr>
          <w:rFonts w:ascii="Noto Sans" w:hAnsi="Noto Sans" w:cs="Noto Sans"/>
          <w:i/>
          <w:iCs/>
          <w:sz w:val="18"/>
        </w:rPr>
        <w:t>ėms</w:t>
      </w:r>
      <w:proofErr w:type="spellEnd"/>
      <w:r w:rsidRPr="00C93629">
        <w:rPr>
          <w:rFonts w:ascii="Noto Sans" w:hAnsi="Noto Sans" w:cs="Noto Sans"/>
          <w:i/>
          <w:iCs/>
          <w:sz w:val="18"/>
        </w:rPr>
        <w:t>)</w:t>
      </w:r>
      <w:r w:rsidRPr="00C93629">
        <w:rPr>
          <w:rFonts w:ascii="Noto Sans" w:hAnsi="Noto Sans" w:cs="Noto Sans"/>
          <w:sz w:val="18"/>
        </w:rPr>
        <w:t xml:space="preserve">, </w:t>
      </w:r>
      <w:r w:rsidRPr="00C93629">
        <w:rPr>
          <w:rFonts w:ascii="Noto Sans" w:hAnsi="Noto Sans" w:cs="Noto Sans"/>
          <w:i/>
          <w:iCs/>
          <w:sz w:val="18"/>
        </w:rPr>
        <w:t>vertintojas</w:t>
      </w:r>
      <w:r w:rsidRPr="00C93629">
        <w:rPr>
          <w:rFonts w:ascii="Noto Sans" w:hAnsi="Noto Sans" w:cs="Noto Sans"/>
          <w:sz w:val="18"/>
        </w:rPr>
        <w:t xml:space="preserve"> taip pat </w:t>
      </w:r>
      <w:r w:rsidRPr="00C93629">
        <w:rPr>
          <w:rFonts w:ascii="Noto Sans" w:hAnsi="Noto Sans" w:cs="Noto Sans"/>
          <w:i/>
          <w:iCs/>
          <w:sz w:val="18"/>
        </w:rPr>
        <w:t>privalo</w:t>
      </w:r>
      <w:r w:rsidRPr="00C93629">
        <w:rPr>
          <w:rFonts w:ascii="Noto Sans" w:hAnsi="Noto Sans" w:cs="Noto Sans"/>
          <w:sz w:val="18"/>
        </w:rPr>
        <w:t xml:space="preserve"> atskleisti konkrečius teisinius, norminius ar kitus valdžios reikalavimus ir jų skirtumus nuo TVS reikalavimų (pavyzdžiui, konkreti </w:t>
      </w:r>
      <w:r w:rsidRPr="00C93629">
        <w:rPr>
          <w:rFonts w:ascii="Noto Sans" w:hAnsi="Noto Sans" w:cs="Noto Sans"/>
          <w:i/>
          <w:iCs/>
          <w:sz w:val="18"/>
        </w:rPr>
        <w:t>jurisdikcija</w:t>
      </w:r>
      <w:r w:rsidRPr="00C93629">
        <w:rPr>
          <w:rFonts w:ascii="Noto Sans" w:hAnsi="Noto Sans" w:cs="Noto Sans"/>
          <w:sz w:val="18"/>
        </w:rPr>
        <w:t xml:space="preserve"> reikalauja, kad būtų taikomas tik rinkos požiūris, o pagal TVS </w:t>
      </w:r>
      <w:r w:rsidRPr="00C93629">
        <w:rPr>
          <w:rFonts w:ascii="Noto Sans" w:hAnsi="Noto Sans" w:cs="Noto Sans"/>
          <w:i/>
          <w:iCs/>
          <w:sz w:val="18"/>
        </w:rPr>
        <w:t>turėtų</w:t>
      </w:r>
      <w:r w:rsidRPr="00C93629">
        <w:rPr>
          <w:rFonts w:ascii="Noto Sans" w:hAnsi="Noto Sans" w:cs="Noto Sans"/>
          <w:sz w:val="18"/>
        </w:rPr>
        <w:t xml:space="preserve"> būti taikomas pajamų požiūris).</w:t>
      </w:r>
    </w:p>
    <w:p w14:paraId="5372A6DC" w14:textId="77777777" w:rsidR="00286009" w:rsidRPr="00C93629" w:rsidRDefault="00286009" w:rsidP="00286009">
      <w:pPr>
        <w:pStyle w:val="ListParagraph"/>
        <w:numPr>
          <w:ilvl w:val="1"/>
          <w:numId w:val="5"/>
        </w:numPr>
        <w:tabs>
          <w:tab w:val="left" w:pos="1560"/>
        </w:tabs>
        <w:autoSpaceDE w:val="0"/>
        <w:autoSpaceDN w:val="0"/>
        <w:spacing w:before="108"/>
        <w:ind w:left="1560" w:right="628" w:hanging="709"/>
        <w:jc w:val="both"/>
        <w:rPr>
          <w:rFonts w:ascii="Noto Sans" w:hAnsi="Noto Sans" w:cs="Noto Sans"/>
          <w:sz w:val="18"/>
        </w:rPr>
      </w:pPr>
      <w:r w:rsidRPr="00C93629">
        <w:rPr>
          <w:rFonts w:ascii="Noto Sans" w:hAnsi="Noto Sans" w:cs="Noto Sans"/>
          <w:sz w:val="18"/>
        </w:rPr>
        <w:t xml:space="preserve">Bet kokie kiti nukrypimai </w:t>
      </w:r>
      <w:r w:rsidRPr="00C93629">
        <w:rPr>
          <w:rFonts w:ascii="Noto Sans" w:hAnsi="Noto Sans" w:cs="Noto Sans"/>
          <w:i/>
          <w:iCs/>
          <w:sz w:val="18"/>
        </w:rPr>
        <w:t>vertinimą</w:t>
      </w:r>
      <w:r w:rsidRPr="00C93629">
        <w:rPr>
          <w:rFonts w:ascii="Noto Sans" w:hAnsi="Noto Sans" w:cs="Noto Sans"/>
          <w:sz w:val="18"/>
        </w:rPr>
        <w:t xml:space="preserve"> darytų neatitinkančiu TVS. </w:t>
      </w:r>
    </w:p>
    <w:p w14:paraId="70782382" w14:textId="77777777" w:rsidR="00286009" w:rsidRPr="00C93629" w:rsidRDefault="00286009" w:rsidP="00286009">
      <w:pPr>
        <w:pStyle w:val="ListParagraph"/>
        <w:numPr>
          <w:ilvl w:val="1"/>
          <w:numId w:val="5"/>
        </w:numPr>
        <w:tabs>
          <w:tab w:val="left" w:pos="1560"/>
        </w:tabs>
        <w:autoSpaceDE w:val="0"/>
        <w:autoSpaceDN w:val="0"/>
        <w:spacing w:before="108" w:line="211" w:lineRule="auto"/>
        <w:ind w:left="1560" w:right="628" w:hanging="709"/>
        <w:jc w:val="both"/>
        <w:rPr>
          <w:rFonts w:ascii="Noto Sans" w:hAnsi="Noto Sans" w:cs="Noto Sans"/>
          <w:sz w:val="18"/>
        </w:rPr>
      </w:pPr>
      <w:r w:rsidRPr="00C93629">
        <w:rPr>
          <w:rFonts w:ascii="Noto Sans" w:hAnsi="Noto Sans" w:cs="Noto Sans"/>
          <w:sz w:val="18"/>
        </w:rPr>
        <w:t xml:space="preserve">Jei </w:t>
      </w:r>
      <w:r w:rsidRPr="00C93629">
        <w:rPr>
          <w:rFonts w:ascii="Noto Sans" w:hAnsi="Noto Sans" w:cs="Noto Sans"/>
          <w:i/>
          <w:iCs/>
          <w:sz w:val="18"/>
        </w:rPr>
        <w:t>turtui</w:t>
      </w:r>
      <w:r w:rsidRPr="00C93629">
        <w:rPr>
          <w:rFonts w:ascii="Noto Sans" w:hAnsi="Noto Sans" w:cs="Noto Sans"/>
          <w:sz w:val="18"/>
        </w:rPr>
        <w:t xml:space="preserve"> ir (arba) </w:t>
      </w:r>
      <w:r w:rsidRPr="00C93629">
        <w:rPr>
          <w:rFonts w:ascii="Noto Sans" w:hAnsi="Noto Sans" w:cs="Noto Sans"/>
          <w:i/>
          <w:iCs/>
          <w:sz w:val="18"/>
        </w:rPr>
        <w:t>įsipareigojimams</w:t>
      </w:r>
      <w:r w:rsidRPr="00C93629">
        <w:rPr>
          <w:rFonts w:ascii="Noto Sans" w:hAnsi="Noto Sans" w:cs="Noto Sans"/>
          <w:sz w:val="18"/>
        </w:rPr>
        <w:t xml:space="preserve"> gali būti tinkami keli turto standartai (nuo 200-ojo TVS „Verslas ir verslo interesai“ iki 500-ojo TVS „Finansinės priemonės“), </w:t>
      </w:r>
      <w:r w:rsidRPr="00C93629">
        <w:rPr>
          <w:rFonts w:ascii="Noto Sans" w:hAnsi="Noto Sans" w:cs="Noto Sans"/>
          <w:i/>
          <w:iCs/>
          <w:sz w:val="18"/>
        </w:rPr>
        <w:t>vertintojas turėtų</w:t>
      </w:r>
      <w:r w:rsidRPr="00C93629">
        <w:rPr>
          <w:rFonts w:ascii="Noto Sans" w:hAnsi="Noto Sans" w:cs="Noto Sans"/>
          <w:sz w:val="18"/>
        </w:rPr>
        <w:t xml:space="preserve"> vadovautis bendraisiais standartais ir paaiškinti, pagrįsti ir dokumentuoti, kuris iš turto standartų buvo taikytas. Pavyzdžiui, kad abu, ir 200-asis TVS „Verslas ir verslo interesai“, ir 500-asis TVS „Finansinės priemonės“ taikomi tam tikram </w:t>
      </w:r>
      <w:r w:rsidRPr="00C93629">
        <w:rPr>
          <w:rFonts w:ascii="Noto Sans" w:hAnsi="Noto Sans" w:cs="Noto Sans"/>
          <w:i/>
          <w:iCs/>
          <w:sz w:val="18"/>
        </w:rPr>
        <w:t>turtui</w:t>
      </w:r>
      <w:r w:rsidRPr="00C93629">
        <w:rPr>
          <w:rFonts w:ascii="Noto Sans" w:hAnsi="Noto Sans" w:cs="Noto Sans"/>
          <w:sz w:val="18"/>
        </w:rPr>
        <w:t xml:space="preserve"> ir (arba) </w:t>
      </w:r>
      <w:r w:rsidRPr="00C93629">
        <w:rPr>
          <w:rFonts w:ascii="Noto Sans" w:hAnsi="Noto Sans" w:cs="Noto Sans"/>
          <w:i/>
          <w:iCs/>
          <w:sz w:val="18"/>
        </w:rPr>
        <w:t>įsipareigojimams</w:t>
      </w:r>
      <w:r w:rsidRPr="00C93629">
        <w:rPr>
          <w:rFonts w:ascii="Noto Sans" w:hAnsi="Noto Sans" w:cs="Noto Sans"/>
          <w:sz w:val="18"/>
        </w:rPr>
        <w:t>.</w:t>
      </w:r>
    </w:p>
    <w:p w14:paraId="4BF71E0C" w14:textId="77777777" w:rsidR="00286009" w:rsidRPr="00C93629" w:rsidRDefault="00286009" w:rsidP="00286009">
      <w:pPr>
        <w:pStyle w:val="ListParagraph"/>
        <w:numPr>
          <w:ilvl w:val="1"/>
          <w:numId w:val="5"/>
        </w:numPr>
        <w:tabs>
          <w:tab w:val="left" w:pos="1560"/>
        </w:tabs>
        <w:autoSpaceDE w:val="0"/>
        <w:autoSpaceDN w:val="0"/>
        <w:spacing w:before="108" w:line="211" w:lineRule="auto"/>
        <w:ind w:left="1560" w:right="628" w:hanging="709"/>
        <w:jc w:val="both"/>
        <w:rPr>
          <w:rFonts w:ascii="Noto Sans" w:hAnsi="Noto Sans" w:cs="Noto Sans"/>
          <w:sz w:val="18"/>
        </w:rPr>
      </w:pPr>
      <w:r w:rsidRPr="00C93629">
        <w:rPr>
          <w:rFonts w:ascii="Noto Sans" w:hAnsi="Noto Sans" w:cs="Noto Sans"/>
          <w:sz w:val="18"/>
        </w:rPr>
        <w:t xml:space="preserve">Tam tikrais atvejais </w:t>
      </w:r>
      <w:r w:rsidRPr="00C93629">
        <w:rPr>
          <w:rFonts w:ascii="Noto Sans" w:hAnsi="Noto Sans" w:cs="Noto Sans"/>
          <w:i/>
          <w:iCs/>
          <w:sz w:val="18"/>
        </w:rPr>
        <w:t>vertintojo</w:t>
      </w:r>
      <w:r w:rsidRPr="00C93629">
        <w:rPr>
          <w:rFonts w:ascii="Noto Sans" w:hAnsi="Noto Sans" w:cs="Noto Sans"/>
          <w:sz w:val="18"/>
        </w:rPr>
        <w:t xml:space="preserve"> gali būti paprašyta atlikti </w:t>
      </w:r>
      <w:r w:rsidRPr="00C93629">
        <w:rPr>
          <w:rFonts w:ascii="Noto Sans" w:hAnsi="Noto Sans" w:cs="Noto Sans"/>
          <w:i/>
          <w:iCs/>
          <w:sz w:val="18"/>
        </w:rPr>
        <w:t>vertinimo peržiūrą</w:t>
      </w:r>
      <w:r w:rsidRPr="00C93629">
        <w:rPr>
          <w:rFonts w:ascii="Noto Sans" w:hAnsi="Noto Sans" w:cs="Noto Sans"/>
          <w:sz w:val="18"/>
        </w:rPr>
        <w:t xml:space="preserve"> dėl atitikties TVS reikalavimams. Tokiais atvejais </w:t>
      </w:r>
      <w:r w:rsidRPr="00C93629">
        <w:rPr>
          <w:rFonts w:ascii="Noto Sans" w:hAnsi="Noto Sans" w:cs="Noto Sans"/>
          <w:i/>
          <w:iCs/>
          <w:sz w:val="18"/>
        </w:rPr>
        <w:t>vertintojas turėtų</w:t>
      </w:r>
      <w:r w:rsidRPr="00C93629">
        <w:rPr>
          <w:rFonts w:ascii="Noto Sans" w:hAnsi="Noto Sans" w:cs="Noto Sans"/>
          <w:sz w:val="18"/>
        </w:rPr>
        <w:t xml:space="preserve"> laikytis TVS ir darbo apimtyje aprašytos taikytinos peržiūros sistemos.</w:t>
      </w:r>
    </w:p>
    <w:p w14:paraId="62489AE2" w14:textId="77777777" w:rsidR="00286009" w:rsidRPr="00C93629" w:rsidRDefault="00286009" w:rsidP="00286009">
      <w:pPr>
        <w:widowControl w:val="0"/>
        <w:numPr>
          <w:ilvl w:val="0"/>
          <w:numId w:val="6"/>
        </w:numPr>
        <w:tabs>
          <w:tab w:val="left" w:pos="1560"/>
        </w:tabs>
        <w:spacing w:before="148" w:after="0" w:line="249" w:lineRule="auto"/>
        <w:ind w:left="1560" w:right="1479" w:hanging="709"/>
        <w:rPr>
          <w:rFonts w:ascii="Noto Sans" w:hAnsi="Noto Sans" w:cs="Noto Sans"/>
          <w:b/>
          <w:bCs/>
          <w:sz w:val="18"/>
          <w:szCs w:val="18"/>
          <w:lang w:val="lt-LT"/>
        </w:rPr>
      </w:pPr>
      <w:r w:rsidRPr="00C93629">
        <w:rPr>
          <w:rFonts w:ascii="Noto Sans" w:hAnsi="Noto Sans" w:cs="Noto Sans"/>
          <w:b/>
          <w:bCs/>
          <w:sz w:val="18"/>
          <w:szCs w:val="18"/>
          <w:lang w:val="lt-LT"/>
        </w:rPr>
        <w:t>Galiojimo data</w:t>
      </w:r>
    </w:p>
    <w:p w14:paraId="166AB8DB" w14:textId="77777777" w:rsidR="00286009" w:rsidRPr="00C93629" w:rsidRDefault="00286009" w:rsidP="00286009">
      <w:pPr>
        <w:widowControl w:val="0"/>
        <w:numPr>
          <w:ilvl w:val="1"/>
          <w:numId w:val="6"/>
        </w:numPr>
        <w:tabs>
          <w:tab w:val="left" w:pos="1560"/>
        </w:tabs>
        <w:spacing w:before="108" w:after="0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>Ši Tarptautinių vertinimo standartų versija paskelbta 2024 m. sausio 31 d., o 2025 m. sausio 31 d. įsigalioja nuo šios datos atliekamiems vertinimams. Paskelbtus TVS TVST leidžia taikyti anksčiau.</w:t>
      </w:r>
    </w:p>
    <w:p w14:paraId="17425A7D" w14:textId="77777777" w:rsidR="00286009" w:rsidRPr="00C93629" w:rsidRDefault="00286009" w:rsidP="006A5B0D">
      <w:pPr>
        <w:widowControl w:val="0"/>
        <w:numPr>
          <w:ilvl w:val="1"/>
          <w:numId w:val="6"/>
        </w:numPr>
        <w:tabs>
          <w:tab w:val="left" w:pos="1560"/>
        </w:tabs>
        <w:spacing w:before="60" w:after="0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 xml:space="preserve">Atlikdamas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vertinimą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arba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vertinimo peržiūrą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retrospektyvinei arba istorinei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vertės nustatymo dienai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,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vertintojas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C93629">
        <w:rPr>
          <w:rFonts w:ascii="Noto Sans" w:hAnsi="Noto Sans" w:cs="Noto Sans"/>
          <w:sz w:val="18"/>
          <w:szCs w:val="18"/>
          <w:lang w:val="lt-LT"/>
        </w:rPr>
        <w:t xml:space="preserve"> nurodyti ir dokumentuoti šias TVS redakcijas:</w:t>
      </w:r>
    </w:p>
    <w:p w14:paraId="67963856" w14:textId="77777777" w:rsidR="00286009" w:rsidRPr="00C93629" w:rsidRDefault="00286009" w:rsidP="006A5B0D">
      <w:pPr>
        <w:tabs>
          <w:tab w:val="left" w:pos="1560"/>
        </w:tabs>
        <w:spacing w:before="60" w:after="0" w:line="249" w:lineRule="auto"/>
        <w:ind w:left="1985" w:right="628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 xml:space="preserve">(a) kuriomis jis rėmėsi, </w:t>
      </w:r>
    </w:p>
    <w:p w14:paraId="23013115" w14:textId="2C27CD39" w:rsidR="0007236B" w:rsidRPr="00C93629" w:rsidRDefault="00286009" w:rsidP="00D20780">
      <w:pPr>
        <w:tabs>
          <w:tab w:val="left" w:pos="1560"/>
        </w:tabs>
        <w:spacing w:line="249" w:lineRule="auto"/>
        <w:ind w:left="1985" w:right="628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C93629">
        <w:rPr>
          <w:rFonts w:ascii="Noto Sans" w:hAnsi="Noto Sans" w:cs="Noto Sans"/>
          <w:sz w:val="18"/>
          <w:szCs w:val="18"/>
          <w:lang w:val="lt-LT"/>
        </w:rPr>
        <w:t xml:space="preserve">(b) kuri yra taikytina </w:t>
      </w:r>
      <w:r w:rsidRPr="00C93629">
        <w:rPr>
          <w:rFonts w:ascii="Noto Sans" w:hAnsi="Noto Sans" w:cs="Noto Sans"/>
          <w:i/>
          <w:iCs/>
          <w:sz w:val="18"/>
          <w:szCs w:val="18"/>
          <w:lang w:val="lt-LT"/>
        </w:rPr>
        <w:t>vertės nustatymo dieną</w:t>
      </w:r>
      <w:r w:rsidRPr="00C93629">
        <w:rPr>
          <w:rFonts w:ascii="Noto Sans" w:hAnsi="Noto Sans" w:cs="Noto Sans"/>
          <w:sz w:val="18"/>
          <w:szCs w:val="18"/>
          <w:lang w:val="lt-LT"/>
        </w:rPr>
        <w:t>.</w:t>
      </w:r>
    </w:p>
    <w:sectPr w:rsidR="0007236B" w:rsidRPr="00C93629" w:rsidSect="0007236B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3118" w14:textId="77777777" w:rsidR="0007236B" w:rsidRDefault="0007236B" w:rsidP="0007236B">
      <w:pPr>
        <w:spacing w:after="0" w:line="240" w:lineRule="auto"/>
      </w:pPr>
      <w:r>
        <w:separator/>
      </w:r>
    </w:p>
  </w:endnote>
  <w:endnote w:type="continuationSeparator" w:id="0">
    <w:p w14:paraId="23013119" w14:textId="77777777" w:rsidR="0007236B" w:rsidRDefault="0007236B" w:rsidP="0007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740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1311A" w14:textId="77777777" w:rsidR="0007236B" w:rsidRPr="0007236B" w:rsidRDefault="0007236B" w:rsidP="0007236B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  <w:r w:rsidRPr="0007236B">
          <w:rPr>
            <w:rFonts w:ascii="Times New Roman" w:hAnsi="Times New Roman" w:cs="Times New Roman"/>
          </w:rPr>
          <w:fldChar w:fldCharType="begin"/>
        </w:r>
        <w:r w:rsidRPr="0007236B">
          <w:rPr>
            <w:rFonts w:ascii="Times New Roman" w:hAnsi="Times New Roman" w:cs="Times New Roman"/>
          </w:rPr>
          <w:instrText xml:space="preserve"> PAGE   \* MERGEFORMAT </w:instrText>
        </w:r>
        <w:r w:rsidRPr="0007236B">
          <w:rPr>
            <w:rFonts w:ascii="Times New Roman" w:hAnsi="Times New Roman" w:cs="Times New Roman"/>
          </w:rPr>
          <w:fldChar w:fldCharType="separate"/>
        </w:r>
        <w:r w:rsidR="00C07DFD">
          <w:rPr>
            <w:rFonts w:ascii="Times New Roman" w:hAnsi="Times New Roman" w:cs="Times New Roman"/>
            <w:noProof/>
          </w:rPr>
          <w:t>1</w:t>
        </w:r>
        <w:r w:rsidRPr="000723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3116" w14:textId="77777777" w:rsidR="0007236B" w:rsidRDefault="0007236B" w:rsidP="0007236B">
      <w:pPr>
        <w:spacing w:after="0" w:line="240" w:lineRule="auto"/>
      </w:pPr>
      <w:r>
        <w:separator/>
      </w:r>
    </w:p>
  </w:footnote>
  <w:footnote w:type="continuationSeparator" w:id="0">
    <w:p w14:paraId="23013117" w14:textId="77777777" w:rsidR="0007236B" w:rsidRDefault="0007236B" w:rsidP="0007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73E"/>
    <w:multiLevelType w:val="multilevel"/>
    <w:tmpl w:val="C554A7FA"/>
    <w:lvl w:ilvl="0">
      <w:start w:val="50"/>
      <w:numFmt w:val="decimal"/>
      <w:lvlText w:val="%1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00" w:hanging="34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674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61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48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35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22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09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2E442CFF"/>
    <w:multiLevelType w:val="multilevel"/>
    <w:tmpl w:val="F1B071E6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  <w:color w:val="231F20"/>
      </w:rPr>
    </w:lvl>
    <w:lvl w:ilvl="1">
      <w:start w:val="1"/>
      <w:numFmt w:val="decimalZero"/>
      <w:lvlText w:val="%1.%2"/>
      <w:lvlJc w:val="left"/>
      <w:pPr>
        <w:ind w:left="716" w:hanging="432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231F20"/>
      </w:rPr>
    </w:lvl>
  </w:abstractNum>
  <w:abstractNum w:abstractNumId="2" w15:restartNumberingAfterBreak="0">
    <w:nsid w:val="4E222516"/>
    <w:multiLevelType w:val="hybridMultilevel"/>
    <w:tmpl w:val="EEAA8204"/>
    <w:lvl w:ilvl="0" w:tplc="35125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C3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D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7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82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05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85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CA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6108D8"/>
    <w:multiLevelType w:val="multilevel"/>
    <w:tmpl w:val="C8863B4E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4" w15:restartNumberingAfterBreak="0">
    <w:nsid w:val="7B12389E"/>
    <w:multiLevelType w:val="multilevel"/>
    <w:tmpl w:val="A34C3C70"/>
    <w:lvl w:ilvl="0">
      <w:start w:val="40"/>
      <w:numFmt w:val="decimal"/>
      <w:lvlText w:val="%1."/>
      <w:lvlJc w:val="left"/>
      <w:pPr>
        <w:ind w:left="847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7" w:hanging="681"/>
        <w:jc w:val="right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68" w:hanging="6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3" w:hanging="6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97" w:hanging="6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62" w:hanging="6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26" w:hanging="6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90" w:hanging="6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55" w:hanging="681"/>
      </w:pPr>
      <w:rPr>
        <w:rFonts w:hint="default"/>
        <w:lang w:val="en-US" w:eastAsia="en-US" w:bidi="ar-SA"/>
      </w:rPr>
    </w:lvl>
  </w:abstractNum>
  <w:abstractNum w:abstractNumId="5" w15:restartNumberingAfterBreak="0">
    <w:nsid w:val="7F0D66CD"/>
    <w:multiLevelType w:val="multilevel"/>
    <w:tmpl w:val="19BCB2BA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num w:numId="1" w16cid:durableId="1547765025">
    <w:abstractNumId w:val="2"/>
  </w:num>
  <w:num w:numId="2" w16cid:durableId="236400563">
    <w:abstractNumId w:val="3"/>
  </w:num>
  <w:num w:numId="3" w16cid:durableId="72507373">
    <w:abstractNumId w:val="5"/>
  </w:num>
  <w:num w:numId="4" w16cid:durableId="250093059">
    <w:abstractNumId w:val="1"/>
  </w:num>
  <w:num w:numId="5" w16cid:durableId="1404373181">
    <w:abstractNumId w:val="4"/>
  </w:num>
  <w:num w:numId="6" w16cid:durableId="9826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6B"/>
    <w:rsid w:val="00000D01"/>
    <w:rsid w:val="0007236B"/>
    <w:rsid w:val="00201BE4"/>
    <w:rsid w:val="00241954"/>
    <w:rsid w:val="00256614"/>
    <w:rsid w:val="00286009"/>
    <w:rsid w:val="006A5B0D"/>
    <w:rsid w:val="00771DCC"/>
    <w:rsid w:val="007D0548"/>
    <w:rsid w:val="0099758B"/>
    <w:rsid w:val="00B8137D"/>
    <w:rsid w:val="00C07DFD"/>
    <w:rsid w:val="00C27C35"/>
    <w:rsid w:val="00C93629"/>
    <w:rsid w:val="00D20780"/>
    <w:rsid w:val="00E06512"/>
    <w:rsid w:val="00F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3113"/>
  <w15:chartTrackingRefBased/>
  <w15:docId w15:val="{5AD2E5A9-7A4D-4CF8-B8EE-62E87B5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36B"/>
  </w:style>
  <w:style w:type="paragraph" w:styleId="Footer">
    <w:name w:val="footer"/>
    <w:basedOn w:val="Normal"/>
    <w:link w:val="Foot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36B"/>
  </w:style>
  <w:style w:type="paragraph" w:customStyle="1" w:styleId="Heading11">
    <w:name w:val="Heading 11"/>
    <w:basedOn w:val="Normal"/>
    <w:rsid w:val="00E06512"/>
    <w:pPr>
      <w:widowControl w:val="0"/>
      <w:spacing w:after="0" w:line="240" w:lineRule="auto"/>
      <w:ind w:left="113"/>
      <w:outlineLvl w:val="1"/>
    </w:pPr>
    <w:rPr>
      <w:rFonts w:ascii="Arial" w:eastAsia="Times New Roman" w:hAnsi="Arial" w:cs="Times New Roman"/>
      <w:b/>
      <w:bCs/>
      <w:sz w:val="40"/>
      <w:szCs w:val="40"/>
      <w:lang w:val="lt-LT" w:eastAsia="lt-LT"/>
    </w:rPr>
  </w:style>
  <w:style w:type="paragraph" w:customStyle="1" w:styleId="Heading31">
    <w:name w:val="Heading 31"/>
    <w:basedOn w:val="Normal"/>
    <w:rsid w:val="00E06512"/>
    <w:pPr>
      <w:widowControl w:val="0"/>
      <w:spacing w:after="0" w:line="240" w:lineRule="auto"/>
      <w:ind w:left="680" w:hanging="567"/>
      <w:outlineLvl w:val="3"/>
    </w:pPr>
    <w:rPr>
      <w:rFonts w:ascii="Arial" w:eastAsia="Times New Roman" w:hAnsi="Arial" w:cs="Times New Roman"/>
      <w:b/>
      <w:bCs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1"/>
    <w:qFormat/>
    <w:rsid w:val="00E06512"/>
    <w:pPr>
      <w:widowControl w:val="0"/>
      <w:spacing w:after="0" w:line="240" w:lineRule="auto"/>
    </w:pPr>
    <w:rPr>
      <w:rFonts w:ascii="Calibri" w:eastAsia="Times New Roman" w:hAnsi="Calibri" w:cs="Times New Roman"/>
      <w:lang w:val="lt-LT" w:eastAsia="lt-LT"/>
    </w:rPr>
  </w:style>
  <w:style w:type="table" w:styleId="TableGrid">
    <w:name w:val="Table Grid"/>
    <w:basedOn w:val="TableNormal"/>
    <w:uiPriority w:val="39"/>
    <w:rsid w:val="00E06512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dddd8e0ccd07724cee7f966750dd4d8e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06ea29d7d82fb506b754f579ea3e7725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4d33-e636-46b7-8b21-0f9243696a4b">
      <Terms xmlns="http://schemas.microsoft.com/office/infopath/2007/PartnerControls"/>
    </lcf76f155ced4ddcb4097134ff3c332f>
    <TaxCatchAll xmlns="383f865a-6fec-435e-903f-fabe8407eb96" xsi:nil="true"/>
  </documentManagement>
</p:properties>
</file>

<file path=customXml/itemProps1.xml><?xml version="1.0" encoding="utf-8"?>
<ds:datastoreItem xmlns:ds="http://schemas.openxmlformats.org/officeDocument/2006/customXml" ds:itemID="{5E8559C1-A9F8-43FB-AB04-9114BF255C62}"/>
</file>

<file path=customXml/itemProps2.xml><?xml version="1.0" encoding="utf-8"?>
<ds:datastoreItem xmlns:ds="http://schemas.openxmlformats.org/officeDocument/2006/customXml" ds:itemID="{E5150D31-8698-41D2-BCD2-890F7A771C06}"/>
</file>

<file path=customXml/itemProps3.xml><?xml version="1.0" encoding="utf-8"?>
<ds:datastoreItem xmlns:ds="http://schemas.openxmlformats.org/officeDocument/2006/customXml" ds:itemID="{A839230C-6010-4FBA-801F-0812CE8CA7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4097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Liaugminas</dc:creator>
  <cp:keywords/>
  <dc:description/>
  <cp:lastModifiedBy>Rimantas Liaugminas | AVNT</cp:lastModifiedBy>
  <cp:revision>14</cp:revision>
  <dcterms:created xsi:type="dcterms:W3CDTF">2017-06-29T05:00:00Z</dcterms:created>
  <dcterms:modified xsi:type="dcterms:W3CDTF">2025-01-14T11:45:00Z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0x010100D8C7C11562D33B479041E1875919713D</vt:lpwstr>
  </property>
</Properties>
</file>