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D74A" w14:textId="77777777" w:rsidR="00000D01" w:rsidRPr="00D550C9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768D277" w14:textId="77777777" w:rsidR="009544EF" w:rsidRPr="00D550C9" w:rsidRDefault="009544EF" w:rsidP="009544EF">
      <w:pPr>
        <w:ind w:left="142"/>
        <w:rPr>
          <w:rFonts w:ascii="Noto Sans" w:hAnsi="Noto Sans" w:cs="Noto Sans"/>
          <w:b/>
          <w:bCs/>
          <w:sz w:val="26"/>
          <w:szCs w:val="26"/>
          <w:lang w:val="lt-LT"/>
        </w:rPr>
      </w:pPr>
      <w:r w:rsidRPr="00D550C9">
        <w:rPr>
          <w:rFonts w:ascii="Noto Sans" w:hAnsi="Noto Sans" w:cs="Noto Sans"/>
          <w:b/>
          <w:bCs/>
          <w:sz w:val="26"/>
          <w:szCs w:val="26"/>
          <w:lang w:val="lt-LT"/>
        </w:rPr>
        <w:t xml:space="preserve">220-asis TVS „Nefinansiniai įsipareigojimai“ </w:t>
      </w:r>
    </w:p>
    <w:p w14:paraId="5B5EE3B7" w14:textId="77777777" w:rsidR="009544EF" w:rsidRPr="00D550C9" w:rsidRDefault="009544EF" w:rsidP="009544EF">
      <w:pPr>
        <w:ind w:left="142"/>
        <w:rPr>
          <w:rFonts w:ascii="Noto Sans" w:hAnsi="Noto Sans" w:cs="Noto Sans"/>
          <w:b/>
          <w:bCs/>
          <w:sz w:val="26"/>
          <w:szCs w:val="26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07"/>
        <w:gridCol w:w="907"/>
        <w:gridCol w:w="907"/>
        <w:gridCol w:w="907"/>
        <w:gridCol w:w="907"/>
        <w:gridCol w:w="907"/>
        <w:gridCol w:w="907"/>
      </w:tblGrid>
      <w:tr w:rsidR="009544EF" w:rsidRPr="00D550C9" w14:paraId="53C7794C" w14:textId="77777777" w:rsidTr="007A0073">
        <w:tc>
          <w:tcPr>
            <w:tcW w:w="846" w:type="dxa"/>
            <w:shd w:val="clear" w:color="auto" w:fill="FFFFFF" w:themeFill="background1"/>
          </w:tcPr>
          <w:p w14:paraId="6252BE11" w14:textId="77777777" w:rsidR="009544EF" w:rsidRPr="00D550C9" w:rsidRDefault="009544EF" w:rsidP="007A0073">
            <w:pPr>
              <w:ind w:left="-112" w:right="-66"/>
              <w:jc w:val="both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200-asis TVS</w:t>
            </w:r>
          </w:p>
          <w:p w14:paraId="1B52832C" w14:textId="77777777" w:rsidR="009544EF" w:rsidRPr="00D550C9" w:rsidRDefault="009544EF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Verslas ir verslo interesai</w:t>
            </w:r>
          </w:p>
        </w:tc>
        <w:tc>
          <w:tcPr>
            <w:tcW w:w="907" w:type="dxa"/>
          </w:tcPr>
          <w:p w14:paraId="477EDF2A" w14:textId="77777777" w:rsidR="009544EF" w:rsidRPr="00D550C9" w:rsidRDefault="009544EF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210-asis TVS</w:t>
            </w:r>
          </w:p>
          <w:p w14:paraId="6944203A" w14:textId="77777777" w:rsidR="009544EF" w:rsidRPr="00D550C9" w:rsidRDefault="009544EF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proofErr w:type="spellStart"/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Nemateria-lusis</w:t>
            </w:r>
            <w:proofErr w:type="spellEnd"/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 turtas</w:t>
            </w:r>
          </w:p>
        </w:tc>
        <w:tc>
          <w:tcPr>
            <w:tcW w:w="907" w:type="dxa"/>
            <w:shd w:val="clear" w:color="auto" w:fill="000000" w:themeFill="text1"/>
          </w:tcPr>
          <w:p w14:paraId="75954655" w14:textId="77777777" w:rsidR="009544EF" w:rsidRPr="00D550C9" w:rsidRDefault="009544EF" w:rsidP="007A0073">
            <w:pPr>
              <w:ind w:left="-43" w:right="-141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220-asis TVS</w:t>
            </w:r>
          </w:p>
          <w:p w14:paraId="7AB80EFB" w14:textId="77777777" w:rsidR="009544EF" w:rsidRPr="00D550C9" w:rsidRDefault="009544EF" w:rsidP="007A0073">
            <w:pPr>
              <w:ind w:left="-43"/>
              <w:jc w:val="center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proofErr w:type="spellStart"/>
            <w:r w:rsidRPr="00D550C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Nefinan-siniai</w:t>
            </w:r>
            <w:proofErr w:type="spellEnd"/>
            <w:r w:rsidRPr="00D550C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 xml:space="preserve"> </w:t>
            </w:r>
            <w:proofErr w:type="spellStart"/>
            <w:r w:rsidRPr="00D550C9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įsipa-reigojimai</w:t>
            </w:r>
            <w:proofErr w:type="spellEnd"/>
          </w:p>
        </w:tc>
        <w:tc>
          <w:tcPr>
            <w:tcW w:w="907" w:type="dxa"/>
            <w:shd w:val="clear" w:color="auto" w:fill="FFFFFF" w:themeFill="background1"/>
          </w:tcPr>
          <w:p w14:paraId="0223A6CD" w14:textId="77777777" w:rsidR="009544EF" w:rsidRPr="00D550C9" w:rsidRDefault="009544EF" w:rsidP="007A0073">
            <w:pPr>
              <w:ind w:left="-64" w:right="-152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230-asis TVS </w:t>
            </w:r>
          </w:p>
          <w:p w14:paraId="2CC2C471" w14:textId="77777777" w:rsidR="009544EF" w:rsidRPr="00D550C9" w:rsidRDefault="009544EF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Atsargos</w:t>
            </w:r>
          </w:p>
        </w:tc>
        <w:tc>
          <w:tcPr>
            <w:tcW w:w="907" w:type="dxa"/>
            <w:shd w:val="clear" w:color="auto" w:fill="FFFFFF" w:themeFill="background1"/>
          </w:tcPr>
          <w:p w14:paraId="46F6DED9" w14:textId="77777777" w:rsidR="009544EF" w:rsidRPr="00D550C9" w:rsidRDefault="009544EF" w:rsidP="007A0073">
            <w:pPr>
              <w:ind w:left="-62" w:right="-94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300-asis TVS</w:t>
            </w:r>
          </w:p>
          <w:p w14:paraId="07CFF35E" w14:textId="77777777" w:rsidR="009544EF" w:rsidRPr="00D550C9" w:rsidRDefault="009544EF" w:rsidP="007A0073">
            <w:pPr>
              <w:ind w:left="-62" w:right="-94"/>
              <w:rPr>
                <w:rFonts w:ascii="Noto Sans" w:hAnsi="Noto Sans" w:cs="Noto Sans"/>
                <w:sz w:val="12"/>
                <w:szCs w:val="12"/>
                <w:lang w:val="lt-LT"/>
              </w:rPr>
            </w:pPr>
            <w:r w:rsidRPr="00D550C9">
              <w:rPr>
                <w:rFonts w:ascii="Noto Sans" w:hAnsi="Noto Sans" w:cs="Noto Sans"/>
                <w:sz w:val="12"/>
                <w:szCs w:val="12"/>
                <w:lang w:val="lt-LT"/>
              </w:rPr>
              <w:t xml:space="preserve">Įranga, įrenginiai ir </w:t>
            </w:r>
            <w:proofErr w:type="spellStart"/>
            <w:r w:rsidRPr="00D550C9">
              <w:rPr>
                <w:rFonts w:ascii="Noto Sans" w:hAnsi="Noto Sans" w:cs="Noto Sans"/>
                <w:sz w:val="12"/>
                <w:szCs w:val="12"/>
                <w:lang w:val="lt-LT"/>
              </w:rPr>
              <w:t>infrastruktūta</w:t>
            </w:r>
            <w:proofErr w:type="spellEnd"/>
          </w:p>
        </w:tc>
        <w:tc>
          <w:tcPr>
            <w:tcW w:w="907" w:type="dxa"/>
            <w:shd w:val="clear" w:color="auto" w:fill="FFFFFF" w:themeFill="background1"/>
          </w:tcPr>
          <w:p w14:paraId="4FB80A08" w14:textId="77777777" w:rsidR="009544EF" w:rsidRPr="00D550C9" w:rsidRDefault="009544EF" w:rsidP="007A0073">
            <w:pPr>
              <w:ind w:left="-26" w:right="-11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400-asis TVS</w:t>
            </w:r>
          </w:p>
          <w:p w14:paraId="6265A72D" w14:textId="77777777" w:rsidR="009544EF" w:rsidRPr="00D550C9" w:rsidRDefault="009544EF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Teisės į nekilnoja-</w:t>
            </w:r>
            <w:proofErr w:type="spellStart"/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mąjį</w:t>
            </w:r>
            <w:proofErr w:type="spellEnd"/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 turtą</w:t>
            </w:r>
          </w:p>
        </w:tc>
        <w:tc>
          <w:tcPr>
            <w:tcW w:w="907" w:type="dxa"/>
          </w:tcPr>
          <w:p w14:paraId="70CB541E" w14:textId="77777777" w:rsidR="009544EF" w:rsidRPr="00D550C9" w:rsidRDefault="009544EF" w:rsidP="007A0073">
            <w:pPr>
              <w:ind w:left="-26" w:right="-97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410-asis TVS</w:t>
            </w:r>
          </w:p>
          <w:p w14:paraId="4366FCE2" w14:textId="77777777" w:rsidR="009544EF" w:rsidRPr="00D550C9" w:rsidRDefault="009544EF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Plėtrai skirtas turtas</w:t>
            </w:r>
          </w:p>
        </w:tc>
        <w:tc>
          <w:tcPr>
            <w:tcW w:w="907" w:type="dxa"/>
          </w:tcPr>
          <w:p w14:paraId="610038D9" w14:textId="77777777" w:rsidR="009544EF" w:rsidRPr="00D550C9" w:rsidRDefault="009544EF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500-asis TVS</w:t>
            </w:r>
          </w:p>
          <w:p w14:paraId="6091D95C" w14:textId="77777777" w:rsidR="009544EF" w:rsidRPr="00D550C9" w:rsidRDefault="009544EF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D550C9">
              <w:rPr>
                <w:rFonts w:ascii="Noto Sans" w:hAnsi="Noto Sans" w:cs="Noto Sans"/>
                <w:sz w:val="14"/>
                <w:szCs w:val="14"/>
                <w:lang w:val="lt-LT"/>
              </w:rPr>
              <w:t>Finansinės priemonės</w:t>
            </w:r>
          </w:p>
          <w:p w14:paraId="564C9A47" w14:textId="77777777" w:rsidR="009544EF" w:rsidRPr="00D550C9" w:rsidRDefault="009544EF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</w:p>
        </w:tc>
      </w:tr>
    </w:tbl>
    <w:p w14:paraId="26853AD8" w14:textId="77777777" w:rsidR="009544EF" w:rsidRPr="00D550C9" w:rsidRDefault="009544EF" w:rsidP="009544EF">
      <w:pPr>
        <w:spacing w:before="40"/>
        <w:rPr>
          <w:rFonts w:ascii="Noto Sans" w:hAnsi="Noto Sans" w:cs="Noto Sans"/>
          <w:b/>
          <w:bCs/>
          <w:sz w:val="18"/>
          <w:szCs w:val="18"/>
          <w:lang w:val="lt-LT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</w:tblGrid>
      <w:tr w:rsidR="009544EF" w:rsidRPr="00D550C9" w14:paraId="105D268F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602F28F7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Turinys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C4363ED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b/>
                <w:bCs/>
                <w:sz w:val="18"/>
                <w:szCs w:val="18"/>
                <w:lang w:val="lt-LT"/>
              </w:rPr>
              <w:t>Skirsnis</w:t>
            </w:r>
          </w:p>
        </w:tc>
      </w:tr>
      <w:tr w:rsidR="009544EF" w:rsidRPr="00D550C9" w14:paraId="5AA576C6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609CFCE9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Apžvalga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9F62FF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10</w:t>
            </w:r>
          </w:p>
        </w:tc>
      </w:tr>
      <w:tr w:rsidR="009544EF" w:rsidRPr="00D550C9" w14:paraId="612E8049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18CA753B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Įvadas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001B92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20</w:t>
            </w:r>
          </w:p>
        </w:tc>
      </w:tr>
      <w:tr w:rsidR="009544EF" w:rsidRPr="00D550C9" w14:paraId="22189B0B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4FFC5EF7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Vertės pagrindai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D3F988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30</w:t>
            </w:r>
          </w:p>
        </w:tc>
      </w:tr>
      <w:tr w:rsidR="009544EF" w:rsidRPr="00D550C9" w14:paraId="5CEA3B72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2500B729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Vertinimo požiūriai ir metodai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7F6248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40</w:t>
            </w:r>
          </w:p>
        </w:tc>
      </w:tr>
      <w:tr w:rsidR="009544EF" w:rsidRPr="00D550C9" w14:paraId="443A02B0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20F775B5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Rinkos požiūris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6B6CCE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50</w:t>
            </w:r>
          </w:p>
        </w:tc>
      </w:tr>
      <w:tr w:rsidR="009544EF" w:rsidRPr="00D550C9" w14:paraId="21CBC0E6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0085EA57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Pajamų požiūris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7BBB43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60</w:t>
            </w:r>
          </w:p>
        </w:tc>
      </w:tr>
      <w:tr w:rsidR="009544EF" w:rsidRPr="00D550C9" w14:paraId="6D8A583D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20B40871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Išlaidų požiūris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B4A0D2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70</w:t>
            </w:r>
          </w:p>
        </w:tc>
      </w:tr>
      <w:tr w:rsidR="009544EF" w:rsidRPr="00D550C9" w14:paraId="55A28B0F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6F680A4D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Specialūs klausimai, susiję su nefinansiniais įsipareigojimais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602CC7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80</w:t>
            </w:r>
          </w:p>
        </w:tc>
      </w:tr>
      <w:tr w:rsidR="009544EF" w:rsidRPr="00D550C9" w14:paraId="42118597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57BDA433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Nefinansinių įsipareigojimų diskonto normos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1512BFE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90</w:t>
            </w:r>
          </w:p>
        </w:tc>
      </w:tr>
      <w:tr w:rsidR="009544EF" w:rsidRPr="00D550C9" w14:paraId="1787D7A4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353ED549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Pinigų srautų ir rizikos maržų nustatymas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892CC8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100</w:t>
            </w:r>
          </w:p>
        </w:tc>
      </w:tr>
      <w:tr w:rsidR="009544EF" w:rsidRPr="00D550C9" w14:paraId="1E32B4D2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51686008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Perdavimų apribojimai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38E840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110</w:t>
            </w:r>
          </w:p>
        </w:tc>
      </w:tr>
      <w:tr w:rsidR="009544EF" w:rsidRPr="00D550C9" w14:paraId="73BBF57D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1A4FA067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Mokesčiai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C94729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D550C9">
              <w:rPr>
                <w:rFonts w:ascii="Noto Sans" w:hAnsi="Noto Sans" w:cs="Noto Sans"/>
                <w:sz w:val="18"/>
                <w:szCs w:val="18"/>
                <w:lang w:val="lt-LT"/>
              </w:rPr>
              <w:t>120</w:t>
            </w:r>
          </w:p>
        </w:tc>
      </w:tr>
      <w:tr w:rsidR="009544EF" w:rsidRPr="00D550C9" w14:paraId="58C74C73" w14:textId="77777777" w:rsidTr="007A0073">
        <w:trPr>
          <w:trHeight w:val="170"/>
        </w:trPr>
        <w:tc>
          <w:tcPr>
            <w:tcW w:w="5670" w:type="dxa"/>
            <w:shd w:val="clear" w:color="auto" w:fill="F2F2F2" w:themeFill="background1" w:themeFillShade="F2"/>
          </w:tcPr>
          <w:p w14:paraId="0CC5B785" w14:textId="77777777" w:rsidR="009544EF" w:rsidRPr="00D550C9" w:rsidRDefault="009544EF" w:rsidP="007A0073">
            <w:pPr>
              <w:spacing w:before="11"/>
              <w:ind w:left="41"/>
              <w:rPr>
                <w:rFonts w:ascii="Noto Sans" w:hAnsi="Noto Sans" w:cs="Noto Sans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1E2D94" w14:textId="77777777" w:rsidR="009544EF" w:rsidRPr="00D550C9" w:rsidRDefault="009544EF" w:rsidP="007A0073">
            <w:pPr>
              <w:spacing w:before="11"/>
              <w:ind w:left="41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</w:p>
        </w:tc>
      </w:tr>
    </w:tbl>
    <w:p w14:paraId="70CCAEC4" w14:textId="77777777" w:rsidR="009544EF" w:rsidRPr="00D550C9" w:rsidRDefault="009544EF" w:rsidP="009544EF">
      <w:pPr>
        <w:pStyle w:val="ListParagraph"/>
        <w:numPr>
          <w:ilvl w:val="0"/>
          <w:numId w:val="2"/>
        </w:numPr>
        <w:spacing w:before="146"/>
        <w:ind w:left="993" w:right="911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D550C9">
        <w:rPr>
          <w:rFonts w:ascii="Noto Sans" w:hAnsi="Noto Sans" w:cs="Noto Sans"/>
          <w:b/>
          <w:bCs/>
          <w:sz w:val="18"/>
          <w:szCs w:val="18"/>
        </w:rPr>
        <w:t>Apžvalga</w:t>
      </w:r>
    </w:p>
    <w:p w14:paraId="775990FB" w14:textId="77777777" w:rsidR="009544EF" w:rsidRPr="00D550C9" w:rsidRDefault="009544EF" w:rsidP="009544EF">
      <w:pPr>
        <w:pStyle w:val="ListParagraph"/>
        <w:numPr>
          <w:ilvl w:val="1"/>
          <w:numId w:val="2"/>
        </w:numPr>
        <w:tabs>
          <w:tab w:val="left" w:pos="7200"/>
        </w:tabs>
        <w:spacing w:before="106"/>
        <w:ind w:left="993" w:right="742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</w:rPr>
        <w:t xml:space="preserve"> ir su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elementais </w:t>
      </w:r>
      <w:r w:rsidRPr="00D550C9">
        <w:rPr>
          <w:rFonts w:ascii="Noto Sans" w:hAnsi="Noto Sans" w:cs="Noto Sans"/>
          <w:bCs/>
          <w:i/>
          <w:sz w:val="18"/>
          <w:szCs w:val="24"/>
        </w:rPr>
        <w:t>vertinimui</w:t>
      </w:r>
      <w:r w:rsidRPr="00D550C9">
        <w:rPr>
          <w:rFonts w:ascii="Noto Sans" w:hAnsi="Noto Sans" w:cs="Noto Sans"/>
          <w:bCs/>
          <w:sz w:val="18"/>
          <w:szCs w:val="24"/>
        </w:rPr>
        <w:t xml:space="preserve"> atlikti taikomi Bendrųjų standartų principai. Šiame standarte yra papildomų reikalavimų, taikomų atlikti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</w:rPr>
        <w:t>vertinimą</w:t>
      </w:r>
      <w:r w:rsidRPr="00D550C9">
        <w:rPr>
          <w:rFonts w:ascii="Noto Sans" w:hAnsi="Noto Sans" w:cs="Noto Sans"/>
          <w:bCs/>
          <w:sz w:val="18"/>
          <w:szCs w:val="24"/>
        </w:rPr>
        <w:t>.</w:t>
      </w:r>
    </w:p>
    <w:p w14:paraId="421BF015" w14:textId="77777777" w:rsidR="009544EF" w:rsidRPr="00D550C9" w:rsidRDefault="009544EF" w:rsidP="009544EF">
      <w:pPr>
        <w:pStyle w:val="ListParagraph"/>
        <w:numPr>
          <w:ilvl w:val="1"/>
          <w:numId w:val="2"/>
        </w:numPr>
        <w:spacing w:before="106"/>
        <w:ind w:left="993" w:right="742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Jei vertinant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</w:rPr>
        <w:t>diskonto normų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ir rizikos maržų nustatymui taikintinos 103-ojo TVS „Vertinimo požiūriai“ (žr. priedo A20.29–20.40) nuostatos prieštarauja šio 220-ojo TVS „Nefinansiniai įsipareigojimai“ nuostatoms, </w:t>
      </w:r>
      <w:r w:rsidRPr="00D550C9">
        <w:rPr>
          <w:rFonts w:ascii="Noto Sans" w:hAnsi="Noto Sans" w:cs="Noto Sans"/>
          <w:bCs/>
          <w:i/>
          <w:sz w:val="18"/>
          <w:szCs w:val="24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</w:rPr>
        <w:t xml:space="preserve"> vadovautis šio standarto 90 ir 100 skirsniais.</w:t>
      </w:r>
    </w:p>
    <w:p w14:paraId="44D63C0E" w14:textId="77777777" w:rsidR="009544EF" w:rsidRPr="00D550C9" w:rsidRDefault="009544EF" w:rsidP="009544EF">
      <w:pPr>
        <w:tabs>
          <w:tab w:val="left" w:pos="993"/>
        </w:tabs>
        <w:spacing w:before="146"/>
        <w:ind w:left="993" w:right="911" w:hanging="709"/>
        <w:jc w:val="both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20.</w:t>
      </w: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ab/>
        <w:t>Įvadas</w:t>
      </w:r>
    </w:p>
    <w:p w14:paraId="69CACA89" w14:textId="77777777" w:rsidR="009544EF" w:rsidRPr="00D550C9" w:rsidRDefault="009544EF" w:rsidP="009544EF">
      <w:pPr>
        <w:tabs>
          <w:tab w:val="left" w:pos="7200"/>
        </w:tabs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Taikant 220-ąjį TVS „Nefinansiniai įsipareigojimai“ nefinansiniai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yra suprantami kaip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įvykdyti nepiniginę prievolę pateikiant prekes ar paslaugas.</w:t>
      </w:r>
    </w:p>
    <w:p w14:paraId="23C8E7BA" w14:textId="77777777" w:rsidR="009544EF" w:rsidRPr="00D550C9" w:rsidRDefault="009544EF" w:rsidP="00504FA0">
      <w:pPr>
        <w:tabs>
          <w:tab w:val="left" w:pos="993"/>
        </w:tabs>
        <w:spacing w:before="106" w:after="0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Neišsamus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kuriuos įvykdyti iš dalies ar visiškai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prireikti nepiniginio įvykdymo ir kuriems gali būti taikomas 220-asis TVS  „Nefinansiniai įsipareigojimai“, sąrašas apima: </w:t>
      </w:r>
    </w:p>
    <w:p w14:paraId="6D6E8B02" w14:textId="77777777" w:rsidR="009544EF" w:rsidRPr="00D550C9" w:rsidRDefault="009544EF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a)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atidėtų pajamų ar sutartinius įsipareigojimus, </w:t>
      </w:r>
    </w:p>
    <w:p w14:paraId="44D7ADA8" w14:textId="77777777" w:rsidR="009544EF" w:rsidRPr="00D550C9" w:rsidRDefault="009544EF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b)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garantijas, </w:t>
      </w:r>
    </w:p>
    <w:p w14:paraId="212DEF75" w14:textId="77777777" w:rsidR="009544EF" w:rsidRPr="00D550C9" w:rsidRDefault="009544EF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c)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aplinkosauginius įsipareigojimus, </w:t>
      </w:r>
    </w:p>
    <w:p w14:paraId="7A4824C8" w14:textId="77777777" w:rsidR="009544EF" w:rsidRPr="00D550C9" w:rsidRDefault="009544EF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d)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>įpareigojimus užbaigus eksploatuoti (angl. „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retirement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“)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</w:t>
      </w:r>
    </w:p>
    <w:p w14:paraId="7C5CCB9C" w14:textId="77777777" w:rsidR="00437C67" w:rsidRPr="00D550C9" w:rsidRDefault="00437C67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e)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tam tikrus neapibrėžtojo atlygio įpareigojimus, </w:t>
      </w:r>
    </w:p>
    <w:p w14:paraId="0EFC2B7E" w14:textId="77777777" w:rsidR="00437C67" w:rsidRPr="00D550C9" w:rsidRDefault="00437C67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f)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lojalumo programas, </w:t>
      </w:r>
    </w:p>
    <w:p w14:paraId="7B1D3226" w14:textId="77777777" w:rsidR="00437C67" w:rsidRPr="00D550C9" w:rsidRDefault="00437C67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g)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galimus bylinėjimosi įpareigojimus ir nenumatytus atvejus, </w:t>
      </w:r>
    </w:p>
    <w:p w14:paraId="2A19D08B" w14:textId="77777777" w:rsidR="00437C67" w:rsidRPr="00D550C9" w:rsidRDefault="00437C67" w:rsidP="00437C67">
      <w:pPr>
        <w:tabs>
          <w:tab w:val="left" w:pos="1418"/>
        </w:tabs>
        <w:spacing w:before="40" w:after="0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h)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>tam tikras kompensacijas ir garantijas.</w:t>
      </w:r>
    </w:p>
    <w:p w14:paraId="3B623E56" w14:textId="77777777" w:rsidR="00437C67" w:rsidRPr="00D550C9" w:rsidRDefault="00437C67" w:rsidP="00437C67">
      <w:pPr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Nors už tam tikrus neapibrėžtojo atlygio įsipareigojimus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reikėti įvykdyti nepiniginę prievolę, tokiems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220-asis TVS „Nefinansiniai įsipareigojimai“ netaikomas. </w:t>
      </w:r>
    </w:p>
    <w:p w14:paraId="42FE3AEA" w14:textId="77777777" w:rsidR="00437C67" w:rsidRPr="00D550C9" w:rsidRDefault="00437C67" w:rsidP="00437C67">
      <w:pPr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lastRenderedPageBreak/>
        <w:t>20.04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Šalis, prisiimdama tam tikrą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paprastai siekia pelno maržos už jo įvykdymą, kad būtų kompensuotos įdedamos pastangos ir prisiimta rizika už prekių pristatymą ar paslaugų suteikimą.</w:t>
      </w:r>
    </w:p>
    <w:p w14:paraId="2E26FC66" w14:textId="77777777" w:rsidR="00437C67" w:rsidRPr="00D550C9" w:rsidRDefault="00437C67" w:rsidP="00437C67">
      <w:pPr>
        <w:tabs>
          <w:tab w:val="left" w:pos="993"/>
        </w:tabs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20.05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Paprastai 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vienintelė įvykdymo prievolė yra piniginis apmokėjimas ir jiems įvykdyti nereikia jokių papildomų kompensacijų. Kadangi piniginis  įvykdymas yra vienintelė finansinių įsipareigojimų vykdymo sąlyga, todėl turto–įsipareigojimų simetrija dažniausiai leidžia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įvertinti vertinamą finansinį 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taikant turto sistemą.</w:t>
      </w:r>
    </w:p>
    <w:p w14:paraId="28ADA348" w14:textId="77777777" w:rsidR="00437C67" w:rsidRPr="00D550C9" w:rsidRDefault="00437C67" w:rsidP="00437C67">
      <w:pPr>
        <w:tabs>
          <w:tab w:val="left" w:pos="6663"/>
          <w:tab w:val="left" w:pos="7513"/>
        </w:tabs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20.06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Turto–įsipareigojimų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simetrija paprastai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neegzistuoja dėl įvykdymo prievolės pateikti prekes ir paslaugas, kad būtų įvykdytas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dėl reikalingo papildomo kompensavimo už tokias pastangas. Todėl nefinansiniai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dažniausiai vertinami taikant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sistemą,  pagal kurią nereikalaujama, kad kita šalis pripažintų ar įvertintų atitinkamą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</w:t>
      </w:r>
    </w:p>
    <w:p w14:paraId="285DCCE9" w14:textId="77777777" w:rsidR="00437C67" w:rsidRPr="00D550C9" w:rsidRDefault="00437C67" w:rsidP="00437C67">
      <w:pPr>
        <w:tabs>
          <w:tab w:val="left" w:pos="6663"/>
        </w:tabs>
        <w:spacing w:before="106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20.07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Tais atvejais, kai sandorio šalys pripažįsta atitinkamą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privalo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nustatyti, ar esant aplinkybėms, atitinkančioms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 pagrindą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vertė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atspindėtų turto ir įsipareigojimų simetriją. Tam tikri vertės pagrindai, kuriuos nustato ne TVST, o kitos institucijos (organizacijos), esant tam tikroms aplinkybėms reikalauja ypatingo apsvarstymo ir suderinimo su atitinkamu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suprasti ir vadovautis </w:t>
      </w:r>
      <w:r w:rsidRPr="00D550C9">
        <w:rPr>
          <w:rFonts w:ascii="Noto Sans" w:hAnsi="Noto Sans" w:cs="Noto Sans"/>
          <w:i/>
          <w:sz w:val="18"/>
          <w:lang w:val="lt-LT"/>
        </w:rPr>
        <w:t xml:space="preserve">vertės </w:t>
      </w:r>
      <w:r w:rsidRPr="00D550C9">
        <w:rPr>
          <w:rFonts w:ascii="Noto Sans" w:hAnsi="Noto Sans" w:cs="Noto Sans"/>
          <w:i/>
          <w:iCs/>
          <w:sz w:val="18"/>
          <w:lang w:val="lt-LT"/>
        </w:rPr>
        <w:t>nustatymo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 xml:space="preserve"> dieną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galiojančia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teisės sistema,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reglamentais, teismų praktika ir kitomis aiškinamosiomis gairėmis, susijusiomis su tais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verčių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pagrindais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(žr. 200-ojo TVS  „Verslas ir verslo interesai“ 30.02 paragrafą). </w:t>
      </w:r>
    </w:p>
    <w:p w14:paraId="318AD29F" w14:textId="77777777" w:rsidR="00437C67" w:rsidRPr="00D550C9" w:rsidRDefault="00437C67" w:rsidP="00504FA0">
      <w:pPr>
        <w:tabs>
          <w:tab w:val="left" w:pos="6663"/>
        </w:tabs>
        <w:spacing w:before="40" w:after="0"/>
        <w:ind w:left="993" w:right="742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Retų atvejų, kai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atlikti atitinkamą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vertės suderinimą (angl. – „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reconcile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>“), pavyzdžiai:</w:t>
      </w:r>
    </w:p>
    <w:p w14:paraId="35BEFEA5" w14:textId="77777777" w:rsidR="00437C67" w:rsidRPr="00D550C9" w:rsidRDefault="00437C67" w:rsidP="00437C67">
      <w:pPr>
        <w:widowControl w:val="0"/>
        <w:numPr>
          <w:ilvl w:val="0"/>
          <w:numId w:val="3"/>
        </w:numPr>
        <w:tabs>
          <w:tab w:val="left" w:pos="1418"/>
        </w:tabs>
        <w:spacing w:before="40" w:after="0" w:line="240" w:lineRule="auto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nefinansiniai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dažnai nėra siejami su atitinkamu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kurį pripažįsta kita šalis (pvz., aplinkosauginė atsakomybė) arba jie gali būti perleidžiami tik kartu su kitu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turtu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(pvz., automobilis perduodamas tik kartu su jo garantija),</w:t>
      </w:r>
    </w:p>
    <w:p w14:paraId="7B3BD475" w14:textId="77777777" w:rsidR="00437C67" w:rsidRPr="00D550C9" w:rsidRDefault="00437C67" w:rsidP="00437C67">
      <w:pPr>
        <w:widowControl w:val="0"/>
        <w:numPr>
          <w:ilvl w:val="0"/>
          <w:numId w:val="3"/>
        </w:numPr>
        <w:tabs>
          <w:tab w:val="left" w:pos="1418"/>
        </w:tabs>
        <w:spacing w:before="40" w:after="0" w:line="240" w:lineRule="auto"/>
        <w:ind w:left="1418" w:right="742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atitinkantis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priklausyti daugybei šalių, kurių praktiškai neįmanoma nustatyti ir suderinti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turto vertes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</w:t>
      </w:r>
    </w:p>
    <w:p w14:paraId="41528883" w14:textId="77777777" w:rsidR="00437C67" w:rsidRPr="00D550C9" w:rsidRDefault="00437C67" w:rsidP="00437C67">
      <w:pPr>
        <w:widowControl w:val="0"/>
        <w:numPr>
          <w:ilvl w:val="0"/>
          <w:numId w:val="3"/>
        </w:numPr>
        <w:tabs>
          <w:tab w:val="left" w:pos="141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rinka dažnai yra labai nelikvidi, todėl gaunama asimetrinė informacija, atsiranda dideli pasiūlos ir paklausos skirtumai bei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įsipareigojimų asimetrija.</w:t>
      </w:r>
    </w:p>
    <w:p w14:paraId="09B85CDE" w14:textId="77777777" w:rsidR="00451098" w:rsidRPr="00D550C9" w:rsidRDefault="00451098" w:rsidP="00451098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20.08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kurie dažniausiai sudaro vertinamo objekto –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sandorius,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 xml:space="preserve"> gali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būti palyginimui netinkamos įmonės ir vertinamą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turinčios įmonės konkurentai. Tokių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pavyzdžiai  yra draudimo bendroves, trečiųjų šalių garantijų suteikėjai ir kiti.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atsižvelgti, ar rinka arba jos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veikia toje pačioje ūkio šakoje, kurioje veikia vertinamą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valdanti įmonė.</w:t>
      </w:r>
    </w:p>
    <w:p w14:paraId="00CF5392" w14:textId="77777777" w:rsidR="00451098" w:rsidRPr="00D550C9" w:rsidRDefault="00451098" w:rsidP="00246DBB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20.09</w:t>
      </w:r>
      <w:bookmarkStart w:id="0" w:name="_Hlk81301771"/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atliekamas įvairiam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numatomam panaudojimui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privalo suprasti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vertinimo numatomą panaudojimą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tai, ar nefinansiniai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turėtų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būti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vertinami atskirai ar kartu su kitu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</w:t>
      </w:r>
    </w:p>
    <w:p w14:paraId="2CC5ADE1" w14:textId="77777777" w:rsidR="00451098" w:rsidRPr="00D550C9" w:rsidRDefault="00451098" w:rsidP="00246DBB">
      <w:pPr>
        <w:tabs>
          <w:tab w:val="left" w:pos="993"/>
        </w:tabs>
        <w:spacing w:before="40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Toliau pateiktas neišsamus aplinkybių, kurios paprastai apima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elemento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vertinimą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pavyzdžių sąrašas:</w:t>
      </w:r>
    </w:p>
    <w:p w14:paraId="36AC602A" w14:textId="77777777" w:rsidR="00451098" w:rsidRPr="00D550C9" w:rsidRDefault="00451098" w:rsidP="00451098">
      <w:pPr>
        <w:widowControl w:val="0"/>
        <w:numPr>
          <w:ilvl w:val="0"/>
          <w:numId w:val="4"/>
        </w:numPr>
        <w:tabs>
          <w:tab w:val="left" w:pos="1418"/>
        </w:tabs>
        <w:spacing w:before="6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finansinės atskaitomybės tikslais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dažnai reikalingas verslo jungimo apskaitai,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įsigijimui ir pardavimui bei nuvertėjimo analizei,</w:t>
      </w:r>
    </w:p>
    <w:p w14:paraId="0DF1FEEB" w14:textId="77777777" w:rsidR="00451098" w:rsidRPr="00D550C9" w:rsidRDefault="00451098" w:rsidP="00451098">
      <w:pPr>
        <w:widowControl w:val="0"/>
        <w:numPr>
          <w:ilvl w:val="0"/>
          <w:numId w:val="4"/>
        </w:numPr>
        <w:tabs>
          <w:tab w:val="left" w:pos="1418"/>
        </w:tabs>
        <w:spacing w:before="6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mokesčių atskaitomybės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tikslais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vertinimas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dažnai reikalingas sandorių kainodarai analizuoti, nekilnojamojo turto ir dovanų mokesčiams planuoti ir ataskaitoms rengti bei pagal vertę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(</w:t>
      </w:r>
      <w:proofErr w:type="spellStart"/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ad</w:t>
      </w:r>
      <w:proofErr w:type="spellEnd"/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proofErr w:type="spellStart"/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valorem</w:t>
      </w:r>
      <w:proofErr w:type="spellEnd"/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apmokestinimo analizei,</w:t>
      </w:r>
    </w:p>
    <w:bookmarkEnd w:id="0"/>
    <w:p w14:paraId="17CD3C77" w14:textId="77777777" w:rsidR="00451098" w:rsidRPr="00D550C9" w:rsidRDefault="00451098" w:rsidP="00451098">
      <w:pPr>
        <w:widowControl w:val="0"/>
        <w:numPr>
          <w:ilvl w:val="0"/>
          <w:numId w:val="4"/>
        </w:numPr>
        <w:tabs>
          <w:tab w:val="left" w:pos="1418"/>
        </w:tabs>
        <w:spacing w:before="6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nefinansiniai įsipareigojimai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gali būti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teisminio bylinėjimosi objektu, todėl tam tikromis aplinkybėmis reikalingas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</w:t>
      </w:r>
    </w:p>
    <w:p w14:paraId="37955276" w14:textId="77777777" w:rsidR="00451098" w:rsidRPr="00D550C9" w:rsidRDefault="00451098" w:rsidP="00451098">
      <w:pPr>
        <w:widowControl w:val="0"/>
        <w:numPr>
          <w:ilvl w:val="0"/>
          <w:numId w:val="4"/>
        </w:numPr>
        <w:tabs>
          <w:tab w:val="left" w:pos="1418"/>
        </w:tabs>
        <w:spacing w:before="6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reikalingas kaip dalis bendrųjų konsultacijų, skolinimo su užstatu ir sandorių sudarymo parengimo tikslais.</w:t>
      </w:r>
    </w:p>
    <w:p w14:paraId="7689394D" w14:textId="77777777" w:rsidR="00451098" w:rsidRPr="00D550C9" w:rsidRDefault="00451098" w:rsidP="00451098">
      <w:pPr>
        <w:tabs>
          <w:tab w:val="left" w:pos="6663"/>
          <w:tab w:val="left" w:pos="7700"/>
        </w:tabs>
        <w:spacing w:before="146"/>
        <w:ind w:left="993" w:right="628" w:hanging="709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30.</w:t>
      </w: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ab/>
        <w:t>Vertės pagrindai</w:t>
      </w:r>
    </w:p>
    <w:p w14:paraId="09684745" w14:textId="77777777" w:rsidR="00451098" w:rsidRPr="00D550C9" w:rsidRDefault="00451098" w:rsidP="00451098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30.01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Vadovaujantis 102-uoju TVS „Vertės pagrindai“, vertindamas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pasirinkti tinkamą (-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us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)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 pagrindą (-</w:t>
      </w:r>
      <w:proofErr w:type="spellStart"/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us</w:t>
      </w:r>
      <w:proofErr w:type="spellEnd"/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.</w:t>
      </w:r>
    </w:p>
    <w:p w14:paraId="0082E522" w14:textId="77777777" w:rsidR="00451098" w:rsidRPr="00D550C9" w:rsidRDefault="00451098" w:rsidP="00451098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30.02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Dažnai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atliekamas taikant ne TVST, bet kitų institucijų (organizacijų) apibrėžtus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vertės pagrindus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(kai kurie pavyzdžiai paminėti 102-ajame TVS  „Vertės pagrindai“) ir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suprasti ir laikytis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vertės nustatymo dieną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galiojančių teisės aktų, reglamentų, teismų praktikos ir kitų aiškinamųjų gairių nustatytų reikalavimų, susijusių su tais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 pagrindais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(žr. 200-ojo TVS „Verslas ir verslo interesai“ 30.02 p.).</w:t>
      </w:r>
    </w:p>
    <w:p w14:paraId="389CEC45" w14:textId="77777777" w:rsidR="00451098" w:rsidRPr="00D550C9" w:rsidRDefault="00451098" w:rsidP="00451098">
      <w:pPr>
        <w:spacing w:before="146"/>
        <w:ind w:left="993" w:right="628" w:hanging="709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40.</w:t>
      </w: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ab/>
        <w:t>Vertinimo požiūriai ir metodai</w:t>
      </w:r>
    </w:p>
    <w:p w14:paraId="529A3EDB" w14:textId="0A72008B" w:rsidR="00246DBB" w:rsidRPr="00D550C9" w:rsidRDefault="00451098" w:rsidP="00246DBB">
      <w:pPr>
        <w:tabs>
          <w:tab w:val="left" w:pos="6663"/>
          <w:tab w:val="left" w:pos="6750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40.01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vertinimui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 xml:space="preserve"> atlikti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 būti taikomi trijų vertinimo požiūrių (rinkos, pajamų ir išlaidų), aprašytų 103-ajame TVS „Vertinimo požiūriai“, elementai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.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Šio standarto 50–70 skirsniuose aprašytuose metoduose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 būti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daugiau nei vieno požiūrio elementų. Todėl, jei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vertintojui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būtina priskirti metodą vienam iš trijų požiūrių, </w:t>
      </w:r>
      <w:r w:rsidR="00246DBB"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="00246DBB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="00246DBB"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="00246DBB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 apsvarstyti bei priimti sprendimą nebūtinai vadovaudamasis toliau pateiktu klasifikavimu.</w:t>
      </w:r>
    </w:p>
    <w:p w14:paraId="026A446F" w14:textId="77777777" w:rsidR="00246DBB" w:rsidRPr="00D550C9" w:rsidRDefault="00246DBB" w:rsidP="00246DBB">
      <w:pPr>
        <w:tabs>
          <w:tab w:val="left" w:pos="666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40.02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Rinkdamasis požiūrį ir metodą, be šio standarto reikalavimų,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privalo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vadovautis ir 103-ojo TVS  „Vertinimo požiūriai“, įskaitant 10.04 paragrafą, reikalavimais.</w:t>
      </w:r>
    </w:p>
    <w:p w14:paraId="41D006E1" w14:textId="77777777" w:rsidR="00246DBB" w:rsidRPr="00D550C9" w:rsidRDefault="00246DBB" w:rsidP="00246DBB">
      <w:pPr>
        <w:tabs>
          <w:tab w:val="left" w:pos="993"/>
          <w:tab w:val="left" w:pos="7700"/>
        </w:tabs>
        <w:spacing w:before="146"/>
        <w:ind w:left="993" w:right="628" w:hanging="709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50.</w:t>
      </w: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ab/>
        <w:t>Rinkos požiūris</w:t>
      </w:r>
    </w:p>
    <w:p w14:paraId="64A4B430" w14:textId="77777777" w:rsidR="00246DBB" w:rsidRPr="00D550C9" w:rsidRDefault="00246DBB" w:rsidP="00246DBB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rinkos požiūriu yra nustatoma atsižvelgiant į rinkos aktyvumą (pavyzdžiui, identiškų ar 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panašiių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sandorius).</w:t>
      </w:r>
    </w:p>
    <w:p w14:paraId="1DA18D1A" w14:textId="77777777" w:rsidR="00246DBB" w:rsidRPr="00D550C9" w:rsidRDefault="00246DBB" w:rsidP="00246DBB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Su nefinansiniais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susiję sandoriai dažnai apima ir kitą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tokie kaip verslo junginiai, apimantys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materialųjį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nematerialųjį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.</w:t>
      </w:r>
    </w:p>
    <w:p w14:paraId="59AED4FE" w14:textId="77777777" w:rsidR="00246DBB" w:rsidRPr="00D550C9" w:rsidRDefault="00246DBB" w:rsidP="00246DBB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i/>
          <w:sz w:val="16"/>
          <w:szCs w:val="16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Nors vien tik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sandorių pasitaiko itin retai,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 apsvarstyti atitinkamas rinka pagrįstas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vertės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indikacijas. Nors tokios rinka pagrįstos indikacijos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nepateikti pakankamos informacijos, kad būtų galima taikyti rinkos požiūrį, tačiau taikant kitus požiūrius pirmumas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teikiamas būtent rinka pagrįstų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pradinių duomenų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naudojimui.</w:t>
      </w:r>
    </w:p>
    <w:p w14:paraId="232DF71B" w14:textId="77777777" w:rsidR="00246DBB" w:rsidRPr="00D550C9" w:rsidRDefault="00246DBB" w:rsidP="00246DBB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Neišsamus rinkos indikacijų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vertei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sąrašas:</w:t>
      </w:r>
    </w:p>
    <w:p w14:paraId="356D90B0" w14:textId="77777777" w:rsidR="00246DBB" w:rsidRPr="00D550C9" w:rsidRDefault="00246DBB" w:rsidP="00246DBB">
      <w:pPr>
        <w:widowControl w:val="0"/>
        <w:numPr>
          <w:ilvl w:val="0"/>
          <w:numId w:val="5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trečiųjų šalių kainodara siekiant vertinamam nefinansiniam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rasti identiškus ar panašius produktus,  (pvz., atidėtosios pajamos);</w:t>
      </w:r>
    </w:p>
    <w:p w14:paraId="47548D86" w14:textId="77777777" w:rsidR="00246DBB" w:rsidRPr="00D550C9" w:rsidRDefault="00246DBB" w:rsidP="00246DBB">
      <w:pPr>
        <w:widowControl w:val="0"/>
        <w:numPr>
          <w:ilvl w:val="0"/>
          <w:numId w:val="5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trečiųjų šalių išleistų garantijų identiškiems ar panašiems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kainodara, </w:t>
      </w:r>
    </w:p>
    <w:p w14:paraId="11C62280" w14:textId="77777777" w:rsidR="00246DBB" w:rsidRPr="00D550C9" w:rsidRDefault="00246DBB" w:rsidP="00246DBB">
      <w:pPr>
        <w:widowControl w:val="0"/>
        <w:numPr>
          <w:ilvl w:val="0"/>
          <w:numId w:val="5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skelbiamos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nustatytos pinigų sumos už tam tikrus lojalumo skatinimo prievoles,</w:t>
      </w:r>
    </w:p>
    <w:p w14:paraId="792653A6" w14:textId="77777777" w:rsidR="00246DBB" w:rsidRPr="00D550C9" w:rsidRDefault="00246DBB" w:rsidP="00246DBB">
      <w:pPr>
        <w:widowControl w:val="0"/>
        <w:numPr>
          <w:ilvl w:val="0"/>
          <w:numId w:val="5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neapibrėžtos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vertės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teisių (angl. „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contingent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value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rights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“; 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CVRs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) prekybos kainos su panašumais į vertinamus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(pvz., neapibrėžtasis atlygis),</w:t>
      </w:r>
    </w:p>
    <w:p w14:paraId="4E640EA0" w14:textId="77777777" w:rsidR="00246DBB" w:rsidRPr="00D550C9" w:rsidRDefault="00246DBB" w:rsidP="00246DBB">
      <w:pPr>
        <w:widowControl w:val="0"/>
        <w:numPr>
          <w:ilvl w:val="0"/>
          <w:numId w:val="5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prieinamos investicinių fondų, investuojančių į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(pvz., teisminių ginčų finansavimas), grąžos normos.</w:t>
      </w:r>
    </w:p>
    <w:p w14:paraId="6F91EBC2" w14:textId="77777777" w:rsidR="00246DBB" w:rsidRPr="00D550C9" w:rsidRDefault="00246DBB" w:rsidP="00246DBB">
      <w:pPr>
        <w:pStyle w:val="ListParagraph"/>
        <w:numPr>
          <w:ilvl w:val="1"/>
          <w:numId w:val="6"/>
        </w:numPr>
        <w:tabs>
          <w:tab w:val="left" w:pos="993"/>
        </w:tabs>
        <w:spacing w:before="106"/>
        <w:ind w:right="911"/>
        <w:jc w:val="both"/>
        <w:rPr>
          <w:rFonts w:ascii="Noto Sans" w:hAnsi="Noto Sans" w:cs="Noto Sans"/>
          <w:bCs/>
          <w:i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Norėdamas nustatyti, ar reikia taikyti rinkos požiūrį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</w:rPr>
        <w:t>vertinimui</w:t>
      </w:r>
      <w:r w:rsidRPr="00D550C9">
        <w:rPr>
          <w:rFonts w:ascii="Noto Sans" w:hAnsi="Noto Sans" w:cs="Noto Sans"/>
          <w:bCs/>
          <w:iCs/>
          <w:sz w:val="18"/>
          <w:szCs w:val="24"/>
        </w:rPr>
        <w:t xml:space="preserve"> atlikti</w:t>
      </w:r>
      <w:r w:rsidRPr="00D550C9">
        <w:rPr>
          <w:rFonts w:ascii="Noto Sans" w:hAnsi="Noto Sans" w:cs="Noto Sans"/>
          <w:bCs/>
          <w:sz w:val="18"/>
          <w:szCs w:val="24"/>
        </w:rPr>
        <w:t>,</w:t>
      </w:r>
      <w:r w:rsidRPr="00D550C9">
        <w:rPr>
          <w:rFonts w:ascii="Noto Sans" w:hAnsi="Noto Sans" w:cs="Noto Sans"/>
          <w:bCs/>
          <w:i/>
          <w:sz w:val="18"/>
          <w:szCs w:val="24"/>
        </w:rPr>
        <w:t xml:space="preserve"> vertintojas privalo</w:t>
      </w:r>
      <w:r w:rsidRPr="00D550C9">
        <w:rPr>
          <w:rFonts w:ascii="Noto Sans" w:hAnsi="Noto Sans" w:cs="Noto Sans"/>
          <w:bCs/>
          <w:sz w:val="18"/>
          <w:szCs w:val="24"/>
        </w:rPr>
        <w:t xml:space="preserve"> laikytis 103-ojo TVS „Vertinimo požiūriai“ 20.02 ir 20.03 paragrafų</w:t>
      </w:r>
      <w:r w:rsidRPr="00D550C9">
        <w:rPr>
          <w:rFonts w:ascii="Noto Sans" w:hAnsi="Noto Sans" w:cs="Noto Sans"/>
          <w:bCs/>
          <w:i/>
          <w:sz w:val="18"/>
          <w:szCs w:val="24"/>
        </w:rPr>
        <w:t>.</w:t>
      </w:r>
    </w:p>
    <w:p w14:paraId="4C0E774C" w14:textId="77777777" w:rsidR="00246DBB" w:rsidRPr="00D550C9" w:rsidRDefault="00246DBB" w:rsidP="00246DBB">
      <w:pPr>
        <w:pStyle w:val="ListParagraph"/>
        <w:numPr>
          <w:ilvl w:val="1"/>
          <w:numId w:val="6"/>
        </w:numPr>
        <w:tabs>
          <w:tab w:val="left" w:pos="993"/>
        </w:tabs>
        <w:spacing w:before="106"/>
        <w:ind w:right="911"/>
        <w:jc w:val="both"/>
        <w:rPr>
          <w:rFonts w:ascii="Noto Sans" w:hAnsi="Noto Sans" w:cs="Noto Sans"/>
          <w:bCs/>
          <w:i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Daugelio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skirtingas pobūdis ir tai, kad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sandoriai retai sudaromi atskirai nuo kito </w:t>
      </w:r>
      <w:r w:rsidRPr="00D550C9">
        <w:rPr>
          <w:rFonts w:ascii="Noto Sans" w:hAnsi="Noto Sans" w:cs="Noto Sans"/>
          <w:bCs/>
          <w:i/>
          <w:sz w:val="18"/>
          <w:szCs w:val="24"/>
        </w:rPr>
        <w:t>turto</w:t>
      </w:r>
      <w:r w:rsidRPr="00D550C9">
        <w:rPr>
          <w:rFonts w:ascii="Noto Sans" w:hAnsi="Noto Sans" w:cs="Noto Sans"/>
          <w:bCs/>
          <w:sz w:val="18"/>
          <w:szCs w:val="24"/>
        </w:rPr>
        <w:t xml:space="preserve">, reiškia, kad rinkoje retai kada įmanoma rasti duomenų apie panašių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sandorius.</w:t>
      </w:r>
    </w:p>
    <w:p w14:paraId="46A9C604" w14:textId="5131F7E0" w:rsidR="00BA51FC" w:rsidRPr="00D550C9" w:rsidRDefault="00246DBB" w:rsidP="00BA51FC">
      <w:pPr>
        <w:pStyle w:val="ListParagraph"/>
        <w:numPr>
          <w:ilvl w:val="1"/>
          <w:numId w:val="6"/>
        </w:numPr>
        <w:tabs>
          <w:tab w:val="left" w:pos="993"/>
        </w:tabs>
        <w:spacing w:before="106"/>
        <w:ind w:right="911"/>
        <w:jc w:val="both"/>
        <w:rPr>
          <w:rFonts w:ascii="Noto Sans" w:hAnsi="Noto Sans" w:cs="Noto Sans"/>
          <w:bCs/>
          <w:i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Jei turima rinkos kainų duomenų, </w:t>
      </w:r>
      <w:r w:rsidRPr="00D550C9">
        <w:rPr>
          <w:rFonts w:ascii="Noto Sans" w:hAnsi="Noto Sans" w:cs="Noto Sans"/>
          <w:bCs/>
          <w:i/>
          <w:sz w:val="18"/>
          <w:szCs w:val="24"/>
        </w:rPr>
        <w:t xml:space="preserve">vertintojas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turėtų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apsispręsti dėl jų koregavimo, kad būtų parodyti skirtumai tarp vertinamo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</w:rPr>
        <w:t xml:space="preserve"> ir tų, dėl kurių sudaryti sandoriai. Šie koregavimai yra</w:t>
      </w:r>
      <w:r w:rsidR="00BA51FC"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="00BA51FC" w:rsidRPr="00D550C9">
        <w:rPr>
          <w:rFonts w:ascii="Noto Sans" w:hAnsi="Noto Sans" w:cs="Noto Sans"/>
          <w:bCs/>
          <w:sz w:val="18"/>
          <w:szCs w:val="24"/>
        </w:rPr>
        <w:t xml:space="preserve">būtini siekiant atspindėti skirtingas vertinamo nefinansinio </w:t>
      </w:r>
      <w:r w:rsidR="00BA51FC" w:rsidRPr="00D550C9">
        <w:rPr>
          <w:rFonts w:ascii="Noto Sans" w:hAnsi="Noto Sans" w:cs="Noto Sans"/>
          <w:bCs/>
          <w:i/>
          <w:iCs/>
          <w:sz w:val="18"/>
          <w:szCs w:val="24"/>
        </w:rPr>
        <w:t>įsipareigojimo</w:t>
      </w:r>
      <w:r w:rsidR="00BA51FC" w:rsidRPr="00D550C9">
        <w:rPr>
          <w:rFonts w:ascii="Noto Sans" w:hAnsi="Noto Sans" w:cs="Noto Sans"/>
          <w:bCs/>
          <w:sz w:val="18"/>
          <w:szCs w:val="24"/>
        </w:rPr>
        <w:t xml:space="preserve"> ir nefinansinių </w:t>
      </w:r>
      <w:r w:rsidR="00BA51FC" w:rsidRPr="00D550C9">
        <w:rPr>
          <w:rFonts w:ascii="Noto Sans" w:hAnsi="Noto Sans" w:cs="Noto Sans"/>
          <w:bCs/>
          <w:i/>
          <w:iCs/>
          <w:sz w:val="18"/>
          <w:szCs w:val="24"/>
        </w:rPr>
        <w:t>įsipareigojimų</w:t>
      </w:r>
      <w:r w:rsidR="00BA51FC" w:rsidRPr="00D550C9">
        <w:rPr>
          <w:rFonts w:ascii="Noto Sans" w:hAnsi="Noto Sans" w:cs="Noto Sans"/>
          <w:bCs/>
          <w:sz w:val="18"/>
          <w:szCs w:val="24"/>
        </w:rPr>
        <w:t>, dėl kurių sudaryti sandoriai, savybes.</w:t>
      </w:r>
    </w:p>
    <w:p w14:paraId="7A1E5227" w14:textId="77777777" w:rsidR="00BA51FC" w:rsidRPr="00D550C9" w:rsidRDefault="00BA51FC" w:rsidP="00BA51FC">
      <w:pPr>
        <w:tabs>
          <w:tab w:val="left" w:pos="993"/>
        </w:tabs>
        <w:spacing w:before="4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Tokius patikslinimus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galima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nustatyti tik kokybiniu, o ne kiekybiniu būdu. Tačiau poreikis atlikti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svarbius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kokybinius patikslinimus gali rodyti, kad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vertinimui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tinkamesnis gali būt kitas požiūris.</w:t>
      </w:r>
    </w:p>
    <w:p w14:paraId="7842A60A" w14:textId="77777777" w:rsidR="00BA51FC" w:rsidRPr="00D550C9" w:rsidRDefault="00BA51FC" w:rsidP="00BA51FC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50.08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Tam tikrais atvejais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remtis rinkos kainomis arba duomenimis apie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atitinkantį vertinamą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Tokiais atvejais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apsvarstyti verslo subjekto gebėjimą perleisti vertinamą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; ar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lyginamojo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kaina atspindi tuos pačius apribojimus ir ar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reikėtų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taikyti apribojimus atspindinčias korekcijas.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imtis priemonių išsiaiškinti, ar perleidimo apribojimai yra būdingi vertinamam nefinansiniam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(pavyzdžiui, nelikvidi rinka), ar apribojimai yra būdingi tik įmonei (pavyzdžiui, finansiniai sunkumai).</w:t>
      </w:r>
    </w:p>
    <w:p w14:paraId="2FE8C1D9" w14:textId="77777777" w:rsidR="00BA51FC" w:rsidRPr="00D550C9" w:rsidRDefault="00BA51FC" w:rsidP="00BA51FC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50.09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Lyginamųjų sandorių metodas, taip pat žinomas kaip </w:t>
      </w:r>
      <w:r w:rsidRPr="00D550C9">
        <w:rPr>
          <w:rFonts w:ascii="Noto Sans" w:hAnsi="Noto Sans" w:cs="Noto Sans"/>
          <w:sz w:val="18"/>
          <w:lang w:val="lt-LT"/>
        </w:rPr>
        <w:t>indikacinių sandorių metodas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paprastai yra vienintelis rinkos požiūrio metodas, kurį galima taikyti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vertinti.</w:t>
      </w:r>
    </w:p>
    <w:p w14:paraId="0F61712F" w14:textId="77777777" w:rsidR="00BA51FC" w:rsidRPr="00D550C9" w:rsidRDefault="00BA51FC" w:rsidP="00BA51FC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50.10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Tik retomis aplinkybėmis vertybiniais popieriais, labai panašiais į vertinamą objektą –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galėtų būti viešai prekiaujama ir tai leistų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taikyti viešai prekiaujamo turto lyginimo metodą. Vienas tokių vertybinių popierių pavyzdžių yra neapibrėžtos vertės teisės (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CVRs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>), susietos su tam tikro produkto gaminimu ar technologija.</w:t>
      </w:r>
    </w:p>
    <w:p w14:paraId="283FD943" w14:textId="77777777" w:rsidR="00BA51FC" w:rsidRPr="00D550C9" w:rsidRDefault="00BA51FC" w:rsidP="00BA51FC">
      <w:pPr>
        <w:tabs>
          <w:tab w:val="left" w:pos="6663"/>
        </w:tabs>
        <w:spacing w:before="142"/>
        <w:ind w:left="993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Rinkos požiūrio metodai</w:t>
      </w:r>
    </w:p>
    <w:p w14:paraId="347EBA3B" w14:textId="77777777" w:rsidR="00BA51FC" w:rsidRPr="00D550C9" w:rsidRDefault="00BA51FC" w:rsidP="00BA51FC">
      <w:pPr>
        <w:tabs>
          <w:tab w:val="left" w:pos="666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Rinkos požiūrio metodas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vertinti dažnai vadinamas „iš viršaus į apačią“ metodu.</w:t>
      </w:r>
    </w:p>
    <w:p w14:paraId="7CBB2992" w14:textId="77777777" w:rsidR="00BA51FC" w:rsidRPr="00D550C9" w:rsidRDefault="00BA51FC" w:rsidP="00BA51FC">
      <w:pPr>
        <w:tabs>
          <w:tab w:val="left" w:pos="6663"/>
        </w:tabs>
        <w:spacing w:before="142"/>
        <w:ind w:left="993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„Iš viršaus į apačią“ metodas</w:t>
      </w:r>
    </w:p>
    <w:p w14:paraId="3336B276" w14:textId="77777777" w:rsidR="00BA51FC" w:rsidRPr="00D550C9" w:rsidRDefault="00BA51FC" w:rsidP="00BA51FC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Taikant „iš viršaus į apačią“ metodą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vertinti remiamasi prielaida, kad patikimi rinka pagrįsti įkainojimo indikatoriai yra prieinami prievolėms įvykdyti.</w:t>
      </w:r>
    </w:p>
    <w:p w14:paraId="54692C69" w14:textId="77777777" w:rsidR="00BA51FC" w:rsidRPr="00D550C9" w:rsidRDefault="00BA51FC" w:rsidP="00BA51FC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atlikdamas produktų pristatymo ar paslaugų teikimo prievolę, susijusią su nefinansiniu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teoriškai galėtų įkainoti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atimdamas iš paslaugų rinkos kainos jau patirtas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prievolei vykdyti ir pridėdamas šių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antkainį.</w:t>
      </w:r>
    </w:p>
    <w:p w14:paraId="61D9A64A" w14:textId="77777777" w:rsidR="00BA51FC" w:rsidRPr="00D550C9" w:rsidRDefault="00BA51FC" w:rsidP="00BA51FC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Kai rinkos informacija naudojama vertinamo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vertei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nustatyti, diskontuoti paprastai nereikia, nes diskontavimo poveikis yra įtrauktas į prieinamas rinkos kainas.</w:t>
      </w:r>
    </w:p>
    <w:p w14:paraId="75CD3F2B" w14:textId="77777777" w:rsidR="00BA51FC" w:rsidRPr="00D550C9" w:rsidRDefault="00BA51FC" w:rsidP="00BA51FC">
      <w:pPr>
        <w:tabs>
          <w:tab w:val="left" w:pos="993"/>
        </w:tabs>
        <w:spacing w:before="120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50.15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sz w:val="18"/>
          <w:lang w:val="lt-LT"/>
        </w:rPr>
        <w:t xml:space="preserve">Neišsamus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„iš viršaus į apačią“</w:t>
      </w:r>
      <w:r w:rsidRPr="00D550C9">
        <w:rPr>
          <w:rFonts w:ascii="Noto Sans" w:hAnsi="Noto Sans" w:cs="Noto Sans"/>
          <w:sz w:val="18"/>
          <w:lang w:val="lt-LT"/>
        </w:rPr>
        <w:t xml:space="preserve"> metodo taikymo etapų, kuriuos </w:t>
      </w:r>
      <w:r w:rsidRPr="00D550C9">
        <w:rPr>
          <w:rFonts w:ascii="Noto Sans" w:hAnsi="Noto Sans" w:cs="Noto Sans"/>
          <w:i/>
          <w:iCs/>
          <w:sz w:val="18"/>
          <w:lang w:val="lt-LT"/>
        </w:rPr>
        <w:t xml:space="preserve">vertintojas turėtų </w:t>
      </w:r>
      <w:r w:rsidRPr="00D550C9">
        <w:rPr>
          <w:rFonts w:ascii="Noto Sans" w:hAnsi="Noto Sans" w:cs="Noto Sans"/>
          <w:sz w:val="18"/>
          <w:lang w:val="lt-LT"/>
        </w:rPr>
        <w:t>įvykdyti, sąrašas:</w:t>
      </w:r>
    </w:p>
    <w:p w14:paraId="5DFD501A" w14:textId="77777777" w:rsidR="00BA51FC" w:rsidRPr="00D550C9" w:rsidRDefault="00BA51FC" w:rsidP="00BA51FC">
      <w:pPr>
        <w:widowControl w:val="0"/>
        <w:numPr>
          <w:ilvl w:val="0"/>
          <w:numId w:val="7"/>
        </w:numPr>
        <w:tabs>
          <w:tab w:val="left" w:pos="1418"/>
          <w:tab w:val="left" w:pos="6663"/>
        </w:tabs>
        <w:spacing w:before="40" w:after="0" w:line="240" w:lineRule="auto"/>
        <w:ind w:left="1418" w:right="979" w:hanging="425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nepiniginės prievolės įvykdymo rinkos kainos nustatymas,</w:t>
      </w:r>
    </w:p>
    <w:p w14:paraId="21D1242F" w14:textId="77777777" w:rsidR="005465DB" w:rsidRPr="00D550C9" w:rsidRDefault="005465DB" w:rsidP="005465DB">
      <w:pPr>
        <w:widowControl w:val="0"/>
        <w:numPr>
          <w:ilvl w:val="0"/>
          <w:numId w:val="7"/>
        </w:numPr>
        <w:tabs>
          <w:tab w:val="left" w:pos="1418"/>
          <w:tab w:val="left" w:pos="6663"/>
        </w:tabs>
        <w:spacing w:before="40" w:after="0" w:line="240" w:lineRule="auto"/>
        <w:ind w:left="1418" w:right="979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jau patirtų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perleidėjo panaudoto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nustatymas. Tokių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pobūdis skirsis priklausomai nuo vertinamo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nefinansinio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įsipareigojimo. Pavyzdžiui,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atidėtosioms pajamoms pirmiausia sudarys pardavimo ir rinkodaros išlaidos, kurios jau buvo patirtos sukuriant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</w:t>
      </w:r>
    </w:p>
    <w:p w14:paraId="6F65E44F" w14:textId="77777777" w:rsidR="005465DB" w:rsidRPr="00D550C9" w:rsidRDefault="005465DB" w:rsidP="005465DB">
      <w:pPr>
        <w:widowControl w:val="0"/>
        <w:numPr>
          <w:ilvl w:val="0"/>
          <w:numId w:val="7"/>
        </w:numPr>
        <w:tabs>
          <w:tab w:val="left" w:pos="1418"/>
          <w:tab w:val="left" w:pos="6663"/>
        </w:tabs>
        <w:spacing w:before="40" w:after="0" w:line="240" w:lineRule="auto"/>
        <w:ind w:left="1418" w:right="979" w:hanging="425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pagrįstos pelno maržos nuo jau patirtų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nustatymas,</w:t>
      </w:r>
    </w:p>
    <w:p w14:paraId="32F48CA2" w14:textId="77777777" w:rsidR="005465DB" w:rsidRPr="00D550C9" w:rsidRDefault="005465DB" w:rsidP="005465DB">
      <w:pPr>
        <w:widowControl w:val="0"/>
        <w:numPr>
          <w:ilvl w:val="0"/>
          <w:numId w:val="7"/>
        </w:numPr>
        <w:tabs>
          <w:tab w:val="left" w:pos="1418"/>
          <w:tab w:val="left" w:pos="6663"/>
        </w:tabs>
        <w:spacing w:before="40" w:after="0" w:line="240" w:lineRule="auto"/>
        <w:ind w:left="1418" w:right="979" w:hanging="425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patirtų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pelno atėmimas Iš rinkos kainos.</w:t>
      </w:r>
    </w:p>
    <w:p w14:paraId="6AC3E5E9" w14:textId="77777777" w:rsidR="005465DB" w:rsidRPr="00D550C9" w:rsidRDefault="005465DB" w:rsidP="005465DB">
      <w:pPr>
        <w:tabs>
          <w:tab w:val="left" w:pos="99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60.</w:t>
      </w: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ab/>
        <w:t>Pajamų požiūris</w:t>
      </w:r>
    </w:p>
    <w:p w14:paraId="78580B49" w14:textId="77777777" w:rsidR="005465DB" w:rsidRPr="00D550C9" w:rsidRDefault="005465DB" w:rsidP="005465DB">
      <w:pPr>
        <w:tabs>
          <w:tab w:val="left" w:pos="993"/>
          <w:tab w:val="left" w:pos="7088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60.01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Taikant pajamų požiūrį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dažnai nustatoma atsižvelgiant į prievolės įvykdymo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dabartinę vertę pridedant pelno maržą, kuri būtų reikalinga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dydžiui nustatyti. Šiose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išlaidose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 būti įtrauktos tam tikros pridėtinės išlaidos.</w:t>
      </w:r>
    </w:p>
    <w:p w14:paraId="64B5E215" w14:textId="77777777" w:rsidR="005465DB" w:rsidRPr="00D550C9" w:rsidRDefault="005465DB" w:rsidP="005465DB">
      <w:pPr>
        <w:tabs>
          <w:tab w:val="left" w:pos="993"/>
          <w:tab w:val="left" w:pos="7088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60.02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Spręsdamas, ar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taikyti pajamų požiūrį,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laikytis 103-ojo TVS „Vertinimo požiūriai“ 30.02 ir 30.03 paragrafų reikalavimų.</w:t>
      </w:r>
    </w:p>
    <w:p w14:paraId="30AF357E" w14:textId="77777777" w:rsidR="005465DB" w:rsidRPr="00D550C9" w:rsidRDefault="005465DB" w:rsidP="005465DB">
      <w:pPr>
        <w:tabs>
          <w:tab w:val="left" w:pos="6663"/>
        </w:tabs>
        <w:spacing w:before="142"/>
        <w:ind w:left="993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Pajamų požiūrio metodai</w:t>
      </w:r>
    </w:p>
    <w:p w14:paraId="4CA3F1E6" w14:textId="77777777" w:rsidR="005465DB" w:rsidRPr="00D550C9" w:rsidRDefault="005465DB" w:rsidP="005465DB">
      <w:pPr>
        <w:tabs>
          <w:tab w:val="left" w:pos="993"/>
        </w:tabs>
        <w:spacing w:before="120"/>
        <w:ind w:left="993" w:right="1069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60.03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Pagrindinis metodas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vertinti pajamų požiūriu dažnai vadinamas „iš apačios į viršų“ metodu.</w:t>
      </w:r>
    </w:p>
    <w:p w14:paraId="4883D733" w14:textId="77777777" w:rsidR="005465DB" w:rsidRPr="00D550C9" w:rsidRDefault="005465DB" w:rsidP="005465DB">
      <w:pPr>
        <w:tabs>
          <w:tab w:val="left" w:pos="6663"/>
        </w:tabs>
        <w:spacing w:before="142"/>
        <w:ind w:left="993"/>
        <w:jc w:val="both"/>
        <w:rPr>
          <w:rFonts w:ascii="Noto Sans" w:hAnsi="Noto Sans" w:cs="Noto Sans"/>
          <w:b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bCs/>
          <w:sz w:val="18"/>
          <w:szCs w:val="24"/>
          <w:lang w:val="lt-LT"/>
        </w:rPr>
        <w:t>„Iš apačios į viršų“ metodas</w:t>
      </w:r>
    </w:p>
    <w:p w14:paraId="04E3A6C8" w14:textId="77777777" w:rsidR="005465DB" w:rsidRPr="00D550C9" w:rsidRDefault="005465DB" w:rsidP="005465DB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60.04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Taikant „iš apačios į viršų“ metodą nefinansinis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yra skaičiuojamas kaip prievolę įvykdyti reikalingos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(jos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apimti tam tikrus valdymo išlaidų elementus) pridėjus priimtiną šių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antkainį, diskontuotą į dabartinę vertę. </w:t>
      </w:r>
    </w:p>
    <w:p w14:paraId="2C8205AC" w14:textId="77777777" w:rsidR="005465DB" w:rsidRPr="00D550C9" w:rsidRDefault="005465DB" w:rsidP="005465DB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60.05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sz w:val="18"/>
          <w:lang w:val="lt-LT"/>
        </w:rPr>
        <w:t xml:space="preserve">Neišsamus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„iš apačios į viršų“</w:t>
      </w:r>
      <w:r w:rsidRPr="00D550C9">
        <w:rPr>
          <w:rFonts w:ascii="Noto Sans" w:hAnsi="Noto Sans" w:cs="Noto Sans"/>
          <w:sz w:val="18"/>
          <w:lang w:val="lt-LT"/>
        </w:rPr>
        <w:t xml:space="preserve"> metodo taikymo etapų, kuriuos </w:t>
      </w:r>
      <w:r w:rsidRPr="00D550C9">
        <w:rPr>
          <w:rFonts w:ascii="Noto Sans" w:hAnsi="Noto Sans" w:cs="Noto Sans"/>
          <w:i/>
          <w:iCs/>
          <w:sz w:val="18"/>
          <w:lang w:val="lt-LT"/>
        </w:rPr>
        <w:t xml:space="preserve">vertintojas turėtų </w:t>
      </w:r>
      <w:r w:rsidRPr="00D550C9">
        <w:rPr>
          <w:rFonts w:ascii="Noto Sans" w:hAnsi="Noto Sans" w:cs="Noto Sans"/>
          <w:sz w:val="18"/>
          <w:lang w:val="lt-LT"/>
        </w:rPr>
        <w:t>įvykdyti, sąrašas: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:</w:t>
      </w:r>
    </w:p>
    <w:p w14:paraId="1320681C" w14:textId="77777777" w:rsidR="005465DB" w:rsidRPr="00D550C9" w:rsidRDefault="005465DB" w:rsidP="005465DB">
      <w:pPr>
        <w:widowControl w:val="0"/>
        <w:numPr>
          <w:ilvl w:val="0"/>
          <w:numId w:val="8"/>
        </w:numPr>
        <w:tabs>
          <w:tab w:val="left" w:pos="993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prievolei įvykdyti reikalingų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nustatymas. Tokios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apims tiesiogines su prievolės įvykdymu susijusias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tačiau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apimti ir netiesiogines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tokias kaip mokėjimai už papildančiojo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turto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naudojimą. Įvykdymo išlaidos yra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susijusios su prievolės, kuri sukuria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įvykdymu. Pardavimo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iki turto įsigijimo datos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neturėtų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būti priskiriamos įvykdymo išlaidoms. </w:t>
      </w:r>
    </w:p>
    <w:p w14:paraId="5D46BEBB" w14:textId="77777777" w:rsidR="005465DB" w:rsidRPr="00D550C9" w:rsidRDefault="005465DB" w:rsidP="005465DB">
      <w:pPr>
        <w:pStyle w:val="ListParagraph"/>
        <w:numPr>
          <w:ilvl w:val="3"/>
          <w:numId w:val="9"/>
        </w:numPr>
        <w:tabs>
          <w:tab w:val="left" w:pos="1701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Papildančiojo </w:t>
      </w:r>
      <w:r w:rsidRPr="00D550C9">
        <w:rPr>
          <w:rFonts w:ascii="Noto Sans" w:hAnsi="Noto Sans" w:cs="Noto Sans"/>
          <w:bCs/>
          <w:i/>
          <w:sz w:val="18"/>
          <w:szCs w:val="24"/>
        </w:rPr>
        <w:t>turto</w:t>
      </w:r>
      <w:r w:rsidRPr="00D550C9">
        <w:rPr>
          <w:rFonts w:ascii="Noto Sans" w:hAnsi="Noto Sans" w:cs="Noto Sans"/>
          <w:bCs/>
          <w:sz w:val="18"/>
          <w:szCs w:val="24"/>
        </w:rPr>
        <w:t xml:space="preserve"> išlaidos </w:t>
      </w:r>
      <w:r w:rsidRPr="00D550C9">
        <w:rPr>
          <w:rFonts w:ascii="Noto Sans" w:hAnsi="Noto Sans" w:cs="Noto Sans"/>
          <w:bCs/>
          <w:i/>
          <w:sz w:val="18"/>
          <w:szCs w:val="24"/>
        </w:rPr>
        <w:t xml:space="preserve">turėtų </w:t>
      </w:r>
      <w:r w:rsidRPr="00D550C9">
        <w:rPr>
          <w:rFonts w:ascii="Noto Sans" w:hAnsi="Noto Sans" w:cs="Noto Sans"/>
          <w:bCs/>
          <w:sz w:val="18"/>
          <w:szCs w:val="24"/>
        </w:rPr>
        <w:t xml:space="preserve">būti įtrauktos į įvykdymo išlaidas, kai tokio </w:t>
      </w:r>
      <w:r w:rsidRPr="00D550C9">
        <w:rPr>
          <w:rFonts w:ascii="Noto Sans" w:hAnsi="Noto Sans" w:cs="Noto Sans"/>
          <w:bCs/>
          <w:i/>
          <w:sz w:val="18"/>
          <w:szCs w:val="24"/>
        </w:rPr>
        <w:t xml:space="preserve">turto </w:t>
      </w:r>
      <w:r w:rsidRPr="00D550C9">
        <w:rPr>
          <w:rFonts w:ascii="Noto Sans" w:hAnsi="Noto Sans" w:cs="Noto Sans"/>
          <w:bCs/>
          <w:sz w:val="18"/>
          <w:szCs w:val="24"/>
        </w:rPr>
        <w:t>reikės norint įvykdyti prievolę ir kai susijusios išlaidos kitaip nebus įtraukiamos į pelno (nuostolių)  ataskaitą.</w:t>
      </w:r>
    </w:p>
    <w:p w14:paraId="20796ED3" w14:textId="74F4B1AF" w:rsidR="003721F6" w:rsidRPr="00D550C9" w:rsidRDefault="005465DB" w:rsidP="00522E87">
      <w:pPr>
        <w:pStyle w:val="ListParagraph"/>
        <w:numPr>
          <w:ilvl w:val="3"/>
          <w:numId w:val="9"/>
        </w:numPr>
        <w:tabs>
          <w:tab w:val="left" w:pos="1701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Retais atvejais, be tiesioginių ir netiesioginių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išlaidų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, </w:t>
      </w:r>
      <w:r w:rsidRPr="00D550C9">
        <w:rPr>
          <w:rFonts w:ascii="Noto Sans" w:hAnsi="Noto Sans" w:cs="Noto Sans"/>
          <w:bCs/>
          <w:iCs/>
          <w:sz w:val="18"/>
          <w:szCs w:val="24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</w:rPr>
        <w:t xml:space="preserve">reikėti įtraukti alternatyvias išlaidas. Pavyzdžiui, licencijuoto simbolinio intelektinio turto tiesioginės ir netiesioginės įvykdymo išlaidos gali būti nominalios. Tačiau, jei prievolė sumažina galimybę užsidirbti iš pagrindinio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turto</w:t>
      </w:r>
      <w:r w:rsidRPr="00D550C9">
        <w:rPr>
          <w:rFonts w:ascii="Noto Sans" w:hAnsi="Noto Sans" w:cs="Noto Sans"/>
          <w:bCs/>
          <w:sz w:val="18"/>
          <w:szCs w:val="24"/>
        </w:rPr>
        <w:t xml:space="preserve"> (pvz.,</w:t>
      </w:r>
      <w:r w:rsidR="00522E87"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="003721F6" w:rsidRPr="00D550C9">
        <w:rPr>
          <w:rFonts w:ascii="Noto Sans" w:hAnsi="Noto Sans" w:cs="Noto Sans"/>
          <w:bCs/>
          <w:sz w:val="18"/>
          <w:szCs w:val="24"/>
        </w:rPr>
        <w:t xml:space="preserve">išimtinis licencijavimo susitarimas), tada </w:t>
      </w:r>
      <w:r w:rsidR="003721F6" w:rsidRPr="00D550C9">
        <w:rPr>
          <w:rFonts w:ascii="Noto Sans" w:hAnsi="Noto Sans" w:cs="Noto Sans"/>
          <w:bCs/>
          <w:i/>
          <w:sz w:val="18"/>
          <w:szCs w:val="24"/>
        </w:rPr>
        <w:t>vertintojas</w:t>
      </w:r>
      <w:r w:rsidR="003721F6"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="003721F6" w:rsidRPr="00D550C9">
        <w:rPr>
          <w:rFonts w:ascii="Noto Sans" w:hAnsi="Noto Sans" w:cs="Noto Sans"/>
          <w:bCs/>
          <w:i/>
          <w:sz w:val="18"/>
          <w:szCs w:val="24"/>
        </w:rPr>
        <w:t xml:space="preserve">turėtų </w:t>
      </w:r>
      <w:r w:rsidR="003721F6" w:rsidRPr="00D550C9">
        <w:rPr>
          <w:rFonts w:ascii="Noto Sans" w:hAnsi="Noto Sans" w:cs="Noto Sans"/>
          <w:bCs/>
          <w:sz w:val="18"/>
          <w:szCs w:val="24"/>
        </w:rPr>
        <w:t xml:space="preserve">apsvarstyti kaip </w:t>
      </w:r>
      <w:r w:rsidR="003721F6" w:rsidRPr="00D550C9">
        <w:rPr>
          <w:rFonts w:ascii="Noto Sans" w:hAnsi="Noto Sans" w:cs="Noto Sans"/>
          <w:bCs/>
          <w:iCs/>
          <w:sz w:val="18"/>
          <w:szCs w:val="24"/>
        </w:rPr>
        <w:t>dalyviai</w:t>
      </w:r>
      <w:r w:rsidR="003721F6" w:rsidRPr="00D550C9">
        <w:rPr>
          <w:rFonts w:ascii="Noto Sans" w:hAnsi="Noto Sans" w:cs="Noto Sans"/>
          <w:bCs/>
          <w:i/>
          <w:sz w:val="18"/>
          <w:szCs w:val="24"/>
        </w:rPr>
        <w:t xml:space="preserve"> </w:t>
      </w:r>
      <w:r w:rsidR="003721F6" w:rsidRPr="00D550C9">
        <w:rPr>
          <w:rFonts w:ascii="Noto Sans" w:hAnsi="Noto Sans" w:cs="Noto Sans"/>
          <w:bCs/>
          <w:sz w:val="18"/>
          <w:szCs w:val="24"/>
        </w:rPr>
        <w:t xml:space="preserve">atsiskaitys už galimas alternatyvias išlaidas, susijusias su nefinansiniu </w:t>
      </w:r>
      <w:r w:rsidR="003721F6" w:rsidRPr="00D550C9">
        <w:rPr>
          <w:rFonts w:ascii="Noto Sans" w:hAnsi="Noto Sans" w:cs="Noto Sans"/>
          <w:bCs/>
          <w:i/>
          <w:iCs/>
          <w:sz w:val="18"/>
          <w:szCs w:val="24"/>
        </w:rPr>
        <w:t>įsipareigojimu</w:t>
      </w:r>
      <w:r w:rsidR="003721F6" w:rsidRPr="00D550C9">
        <w:rPr>
          <w:rFonts w:ascii="Noto Sans" w:hAnsi="Noto Sans" w:cs="Noto Sans"/>
          <w:bCs/>
          <w:sz w:val="18"/>
          <w:szCs w:val="24"/>
        </w:rPr>
        <w:t>.</w:t>
      </w:r>
    </w:p>
    <w:p w14:paraId="6D9D4AE6" w14:textId="77777777" w:rsidR="003721F6" w:rsidRPr="00D550C9" w:rsidRDefault="003721F6" w:rsidP="003721F6">
      <w:pPr>
        <w:widowControl w:val="0"/>
        <w:numPr>
          <w:ilvl w:val="0"/>
          <w:numId w:val="8"/>
        </w:numPr>
        <w:tabs>
          <w:tab w:val="left" w:pos="993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tinkamo įvykdymo antkainio nustatymas. Daugeliu atvejų gali būti tikslinga įtraukti numatomą tam tikrų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pelno maržą, kuri gali būti išreikšta kaip tikslinis pelnas, gaunamas kaip vienkartinė pinigų suma arba kaip procentinė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vertės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grąža. </w:t>
      </w:r>
    </w:p>
    <w:p w14:paraId="464F46E0" w14:textId="77777777" w:rsidR="003721F6" w:rsidRPr="00D550C9" w:rsidRDefault="003721F6" w:rsidP="003721F6">
      <w:pPr>
        <w:pStyle w:val="ListParagraph"/>
        <w:numPr>
          <w:ilvl w:val="3"/>
          <w:numId w:val="10"/>
        </w:numPr>
        <w:tabs>
          <w:tab w:val="left" w:pos="993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Pradinis atskaitos taškas </w:t>
      </w:r>
      <w:r w:rsidRPr="00D550C9">
        <w:rPr>
          <w:rFonts w:ascii="Noto Sans" w:hAnsi="Noto Sans" w:cs="Noto Sans"/>
          <w:bCs/>
          <w:iCs/>
          <w:sz w:val="18"/>
          <w:szCs w:val="24"/>
        </w:rPr>
        <w:t>gali būti</w:t>
      </w:r>
      <w:r w:rsidRPr="00D550C9">
        <w:rPr>
          <w:rFonts w:ascii="Noto Sans" w:hAnsi="Noto Sans" w:cs="Noto Sans"/>
          <w:bCs/>
          <w:sz w:val="18"/>
          <w:szCs w:val="24"/>
        </w:rPr>
        <w:t xml:space="preserve"> įmonės, turinčios vertinamą nefinansinį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įsipareigojimą</w:t>
      </w:r>
      <w:r w:rsidRPr="00D550C9">
        <w:rPr>
          <w:rFonts w:ascii="Noto Sans" w:hAnsi="Noto Sans" w:cs="Noto Sans"/>
          <w:bCs/>
          <w:sz w:val="18"/>
          <w:szCs w:val="24"/>
        </w:rPr>
        <w:t xml:space="preserve">, veiklos pelno taikymas atliekant skaičiavimus. </w:t>
      </w:r>
    </w:p>
    <w:p w14:paraId="6A5ED9D0" w14:textId="77777777" w:rsidR="003721F6" w:rsidRPr="00D550C9" w:rsidRDefault="003721F6" w:rsidP="003721F6">
      <w:pPr>
        <w:pStyle w:val="ListParagraph"/>
        <w:numPr>
          <w:ilvl w:val="3"/>
          <w:numId w:val="10"/>
        </w:numPr>
        <w:tabs>
          <w:tab w:val="left" w:pos="993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Tačiau taikant šią metodiką daroma prielaida, kad pelno marža bus proporcinga patirtoms </w:t>
      </w:r>
      <w:r w:rsidRPr="00D550C9">
        <w:rPr>
          <w:rFonts w:ascii="Noto Sans" w:hAnsi="Noto Sans" w:cs="Noto Sans"/>
          <w:bCs/>
          <w:i/>
          <w:sz w:val="18"/>
          <w:szCs w:val="24"/>
        </w:rPr>
        <w:t>išlaidoms</w:t>
      </w:r>
      <w:r w:rsidRPr="00D550C9">
        <w:rPr>
          <w:rFonts w:ascii="Noto Sans" w:hAnsi="Noto Sans" w:cs="Noto Sans"/>
          <w:bCs/>
          <w:sz w:val="18"/>
          <w:szCs w:val="24"/>
        </w:rPr>
        <w:t xml:space="preserve">. </w:t>
      </w:r>
    </w:p>
    <w:p w14:paraId="53D6E39E" w14:textId="77777777" w:rsidR="003721F6" w:rsidRPr="00D550C9" w:rsidRDefault="003721F6" w:rsidP="003721F6">
      <w:pPr>
        <w:pStyle w:val="ListParagraph"/>
        <w:numPr>
          <w:ilvl w:val="3"/>
          <w:numId w:val="10"/>
        </w:numPr>
        <w:tabs>
          <w:tab w:val="left" w:pos="993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Daugeliu atvejų yra pagrindas manyti, kad pelno maržos nėra proporcingos </w:t>
      </w:r>
      <w:r w:rsidRPr="00D550C9">
        <w:rPr>
          <w:rFonts w:ascii="Noto Sans" w:hAnsi="Noto Sans" w:cs="Noto Sans"/>
          <w:bCs/>
          <w:iCs/>
          <w:sz w:val="18"/>
          <w:szCs w:val="24"/>
        </w:rPr>
        <w:t>išlaidoms</w:t>
      </w:r>
      <w:r w:rsidRPr="00D550C9">
        <w:rPr>
          <w:rFonts w:ascii="Noto Sans" w:hAnsi="Noto Sans" w:cs="Noto Sans"/>
          <w:bCs/>
          <w:sz w:val="18"/>
          <w:szCs w:val="24"/>
        </w:rPr>
        <w:t xml:space="preserve">. Tokiais atvejais prisiimta rizika, pridėtinė </w:t>
      </w:r>
      <w:r w:rsidRPr="00D550C9">
        <w:rPr>
          <w:rFonts w:ascii="Noto Sans" w:hAnsi="Noto Sans" w:cs="Noto Sans"/>
          <w:bCs/>
          <w:i/>
          <w:sz w:val="18"/>
          <w:szCs w:val="24"/>
        </w:rPr>
        <w:t>vertė</w:t>
      </w:r>
      <w:r w:rsidRPr="00D550C9">
        <w:rPr>
          <w:rFonts w:ascii="Noto Sans" w:hAnsi="Noto Sans" w:cs="Noto Sans"/>
          <w:bCs/>
          <w:sz w:val="18"/>
          <w:szCs w:val="24"/>
        </w:rPr>
        <w:t xml:space="preserve"> arba nematerialusis turtas, prisidedantys prie įvykdymo, nėra tokie patys kaip tie, kurie prisidėjo iki nustatymo datos. </w:t>
      </w:r>
    </w:p>
    <w:p w14:paraId="75E7032E" w14:textId="77777777" w:rsidR="003721F6" w:rsidRPr="00D550C9" w:rsidRDefault="003721F6" w:rsidP="003721F6">
      <w:pPr>
        <w:pStyle w:val="ListParagraph"/>
        <w:numPr>
          <w:ilvl w:val="3"/>
          <w:numId w:val="10"/>
        </w:numPr>
        <w:tabs>
          <w:tab w:val="left" w:pos="993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Kai </w:t>
      </w:r>
      <w:r w:rsidRPr="00D550C9">
        <w:rPr>
          <w:rFonts w:ascii="Noto Sans" w:hAnsi="Noto Sans" w:cs="Noto Sans"/>
          <w:bCs/>
          <w:i/>
          <w:sz w:val="18"/>
          <w:szCs w:val="24"/>
        </w:rPr>
        <w:t>išlaidos</w:t>
      </w:r>
      <w:r w:rsidRPr="00D550C9">
        <w:rPr>
          <w:rFonts w:ascii="Noto Sans" w:hAnsi="Noto Sans" w:cs="Noto Sans"/>
          <w:bCs/>
          <w:sz w:val="18"/>
          <w:szCs w:val="24"/>
        </w:rPr>
        <w:t xml:space="preserve"> apskaičiuojamos pagal faktines, nustatytas ar apskaičiuotas trečiųjų šalių tiekėjų ar rangovų kainas, į šias </w:t>
      </w:r>
      <w:r w:rsidRPr="00D550C9">
        <w:rPr>
          <w:rFonts w:ascii="Noto Sans" w:hAnsi="Noto Sans" w:cs="Noto Sans"/>
          <w:bCs/>
          <w:i/>
          <w:sz w:val="18"/>
          <w:szCs w:val="24"/>
        </w:rPr>
        <w:t>išlaidas</w:t>
      </w:r>
      <w:r w:rsidRPr="00D550C9">
        <w:rPr>
          <w:rFonts w:ascii="Noto Sans" w:hAnsi="Noto Sans" w:cs="Noto Sans"/>
          <w:bCs/>
          <w:sz w:val="18"/>
          <w:szCs w:val="24"/>
        </w:rPr>
        <w:t xml:space="preserve"> jau bus įtrauktas norimas trečiosios šalies pelnas.</w:t>
      </w:r>
    </w:p>
    <w:p w14:paraId="3A71F34C" w14:textId="77777777" w:rsidR="003721F6" w:rsidRPr="00D550C9" w:rsidRDefault="003721F6" w:rsidP="003721F6">
      <w:pPr>
        <w:pStyle w:val="ListParagraph"/>
        <w:numPr>
          <w:ilvl w:val="3"/>
          <w:numId w:val="10"/>
        </w:numPr>
        <w:tabs>
          <w:tab w:val="left" w:pos="993"/>
          <w:tab w:val="left" w:pos="7088"/>
        </w:tabs>
        <w:spacing w:before="40"/>
        <w:ind w:left="1701" w:right="911"/>
        <w:jc w:val="both"/>
        <w:rPr>
          <w:rFonts w:ascii="Noto Sans" w:hAnsi="Noto Sans" w:cs="Noto Sans"/>
          <w:bCs/>
          <w:sz w:val="18"/>
          <w:szCs w:val="24"/>
        </w:rPr>
      </w:pPr>
      <w:r w:rsidRPr="00D550C9">
        <w:rPr>
          <w:rFonts w:ascii="Noto Sans" w:hAnsi="Noto Sans" w:cs="Noto Sans"/>
          <w:bCs/>
          <w:sz w:val="18"/>
          <w:szCs w:val="24"/>
        </w:rPr>
        <w:t xml:space="preserve">Atlikdamas šį veiksmą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</w:rPr>
        <w:t>neturėtų</w:t>
      </w:r>
      <w:r w:rsidRPr="00D550C9">
        <w:rPr>
          <w:rFonts w:ascii="Noto Sans" w:hAnsi="Noto Sans" w:cs="Noto Sans"/>
          <w:bCs/>
          <w:sz w:val="18"/>
          <w:szCs w:val="24"/>
        </w:rPr>
        <w:t xml:space="preserve"> du kartus įskaičiuoti pelno ar antkainių, kurie jau buvo įtraukti į sąnaudų arba papildančiojo turto mokesčius. </w:t>
      </w:r>
    </w:p>
    <w:p w14:paraId="408F808D" w14:textId="77777777" w:rsidR="003721F6" w:rsidRPr="00D550C9" w:rsidRDefault="003721F6" w:rsidP="003721F6">
      <w:pPr>
        <w:widowControl w:val="0"/>
        <w:numPr>
          <w:ilvl w:val="0"/>
          <w:numId w:val="8"/>
        </w:numPr>
        <w:tabs>
          <w:tab w:val="left" w:pos="993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įvykdymo laiko nustatymas ir diskontavimas į dabartinę vertę.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turėtų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rodyti pinigų vertę laiko atžvilgiu ir neįvykdymo riziką. Paprastai geriau atspindėti numatomų įvykdymo išlaidų ir įvykdymo maržos pokyčių neapibrėžtumo poveikį pinigų srautams, o ne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. </w:t>
      </w:r>
    </w:p>
    <w:p w14:paraId="5C43882C" w14:textId="77777777" w:rsidR="003721F6" w:rsidRPr="00D550C9" w:rsidRDefault="003721F6" w:rsidP="003721F6">
      <w:pPr>
        <w:widowControl w:val="0"/>
        <w:numPr>
          <w:ilvl w:val="0"/>
          <w:numId w:val="8"/>
        </w:numPr>
        <w:tabs>
          <w:tab w:val="left" w:pos="993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kai įvykdymo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nustatomos pagal pajamų procentą,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apsvarstyti, ar įvykdymo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netiesiogiai apima diskontavimo poveikį. Pavyzdžiui, už išankstinį mokėjimą už paslaugas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taikoma nuolaida, palyginti su mokėjimu per visą sutarties galiojimo laiką. Dėl to išvestinės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 būti su nuolaida ir tolesnio diskontavimo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nereikėti.</w:t>
      </w:r>
    </w:p>
    <w:p w14:paraId="25CBEFDB" w14:textId="77777777" w:rsidR="003721F6" w:rsidRPr="00D550C9" w:rsidRDefault="003721F6" w:rsidP="003721F6">
      <w:pPr>
        <w:tabs>
          <w:tab w:val="left" w:pos="666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70.</w:t>
      </w:r>
      <w:r w:rsidRPr="00D550C9">
        <w:rPr>
          <w:rFonts w:ascii="Noto Sans" w:hAnsi="Noto Sans" w:cs="Noto Sans"/>
          <w:b/>
          <w:sz w:val="18"/>
          <w:szCs w:val="24"/>
          <w:lang w:val="lt-LT"/>
        </w:rPr>
        <w:tab/>
        <w:t>Išlaidų požiūris</w:t>
      </w:r>
    </w:p>
    <w:p w14:paraId="1BBD5F4E" w14:textId="77777777" w:rsidR="003721F6" w:rsidRPr="00D550C9" w:rsidRDefault="003721F6" w:rsidP="003721F6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70.01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Išlaidų požiūris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taikomas retai, nes dalyviai paprastai tikisi grąžos už įvykdymo pastangas.</w:t>
      </w:r>
    </w:p>
    <w:p w14:paraId="4AFDF665" w14:textId="77777777" w:rsidR="003721F6" w:rsidRPr="00D550C9" w:rsidRDefault="003721F6" w:rsidP="003721F6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70.02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Vertintojas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laikytis 103-ojo TVS „Vertinimo požiūriai“ 40.02 ir 40.03 paragrafų apsispręsdami, ar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taikyti išlaidų požiūrį.</w:t>
      </w:r>
    </w:p>
    <w:p w14:paraId="0BE27057" w14:textId="77777777" w:rsidR="003721F6" w:rsidRPr="00D550C9" w:rsidRDefault="003721F6" w:rsidP="003721F6">
      <w:pPr>
        <w:tabs>
          <w:tab w:val="left" w:pos="666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80.</w:t>
      </w:r>
      <w:r w:rsidRPr="00D550C9">
        <w:rPr>
          <w:rFonts w:ascii="Noto Sans" w:hAnsi="Noto Sans" w:cs="Noto Sans"/>
          <w:b/>
          <w:sz w:val="18"/>
          <w:szCs w:val="24"/>
          <w:lang w:val="lt-LT"/>
        </w:rPr>
        <w:tab/>
        <w:t>Specialūs klausimai, susiję su nefinansiniais įsipareigojimais</w:t>
      </w:r>
    </w:p>
    <w:p w14:paraId="08FC5F73" w14:textId="77777777" w:rsidR="003721F6" w:rsidRPr="00D550C9" w:rsidRDefault="003721F6" w:rsidP="00F31AC5">
      <w:pPr>
        <w:tabs>
          <w:tab w:val="left" w:pos="993"/>
        </w:tabs>
        <w:spacing w:before="120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80.01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Tolesniuose skyriuose pateiktas neišsamus temų, susijusių su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vertinimu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sąrašas:</w:t>
      </w:r>
    </w:p>
    <w:p w14:paraId="466C1A79" w14:textId="77777777" w:rsidR="00F31AC5" w:rsidRPr="00D550C9" w:rsidRDefault="00F31AC5" w:rsidP="00F31AC5">
      <w:pPr>
        <w:widowControl w:val="0"/>
        <w:numPr>
          <w:ilvl w:val="0"/>
          <w:numId w:val="11"/>
        </w:numPr>
        <w:tabs>
          <w:tab w:val="left" w:pos="1350"/>
          <w:tab w:val="left" w:pos="6663"/>
        </w:tabs>
        <w:spacing w:before="40" w:after="0" w:line="240" w:lineRule="auto"/>
        <w:ind w:left="1350" w:right="911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diskonto norma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(90 skirsnis);</w:t>
      </w:r>
    </w:p>
    <w:p w14:paraId="3C408147" w14:textId="77777777" w:rsidR="00F31AC5" w:rsidRPr="00D550C9" w:rsidRDefault="00F31AC5" w:rsidP="00F31AC5">
      <w:pPr>
        <w:widowControl w:val="0"/>
        <w:numPr>
          <w:ilvl w:val="0"/>
          <w:numId w:val="11"/>
        </w:numPr>
        <w:tabs>
          <w:tab w:val="left" w:pos="1350"/>
          <w:tab w:val="left" w:pos="6663"/>
        </w:tabs>
        <w:spacing w:before="40" w:after="0" w:line="240" w:lineRule="auto"/>
        <w:ind w:left="1350" w:right="911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pinigų srautų ir rizikos maržos nustatymas (100 skirsnis);</w:t>
      </w:r>
    </w:p>
    <w:p w14:paraId="11AC5B29" w14:textId="77777777" w:rsidR="00F31AC5" w:rsidRPr="00D550C9" w:rsidRDefault="00F31AC5" w:rsidP="00F31AC5">
      <w:pPr>
        <w:widowControl w:val="0"/>
        <w:numPr>
          <w:ilvl w:val="0"/>
          <w:numId w:val="11"/>
        </w:numPr>
        <w:tabs>
          <w:tab w:val="left" w:pos="1350"/>
          <w:tab w:val="left" w:pos="6663"/>
        </w:tabs>
        <w:spacing w:before="40" w:after="0" w:line="240" w:lineRule="auto"/>
        <w:ind w:left="1350" w:right="911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perdavimo apribojimai (110 skirsnis);</w:t>
      </w:r>
    </w:p>
    <w:p w14:paraId="1C31E99F" w14:textId="77777777" w:rsidR="00F31AC5" w:rsidRPr="00D550C9" w:rsidRDefault="00F31AC5" w:rsidP="00F31AC5">
      <w:pPr>
        <w:widowControl w:val="0"/>
        <w:numPr>
          <w:ilvl w:val="0"/>
          <w:numId w:val="11"/>
        </w:numPr>
        <w:tabs>
          <w:tab w:val="left" w:pos="1350"/>
          <w:tab w:val="left" w:pos="6663"/>
        </w:tabs>
        <w:spacing w:before="40" w:after="0" w:line="240" w:lineRule="auto"/>
        <w:ind w:left="1350" w:right="911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mokesčiai (120 skirsnis).</w:t>
      </w:r>
    </w:p>
    <w:p w14:paraId="41DC354E" w14:textId="77777777" w:rsidR="00F31AC5" w:rsidRPr="00D550C9" w:rsidRDefault="00F31AC5" w:rsidP="00F31AC5">
      <w:pPr>
        <w:tabs>
          <w:tab w:val="left" w:pos="666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90.</w:t>
      </w:r>
      <w:r w:rsidRPr="00D550C9">
        <w:rPr>
          <w:rFonts w:ascii="Noto Sans" w:hAnsi="Noto Sans" w:cs="Noto Sans"/>
          <w:b/>
          <w:sz w:val="18"/>
          <w:szCs w:val="24"/>
          <w:lang w:val="lt-LT"/>
        </w:rPr>
        <w:tab/>
        <w:t>Nefinansinių įsipareigojimų diskonto norma</w:t>
      </w:r>
    </w:p>
    <w:p w14:paraId="37F5C22F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Esminis pajamų požiūrio taikymo pagrindas yra tas, kad investuotojai tikisi gauti grąžos iš savo investicijų ir kad tokia grąža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atspindėti jų suvokiamą rizikos lygį investuojant.</w:t>
      </w:r>
    </w:p>
    <w:p w14:paraId="6A275E89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Į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įtraukta pinigų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vertė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laiko atžvilgiu ir neįvykdymo rizika. Neįvykdymo rizika paprastai yra sandorio šalies rizika (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t.y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>. verslo subjekto, privalančio įvykdyti įsipareigojimą, kredito rizika) (žr. šio standarto 60.5 (c) paragrafą).</w:t>
      </w:r>
    </w:p>
    <w:p w14:paraId="0362A955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Pagal kitų nei TVST, institucijų (organizacijų) nustatytus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 pagrindus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 būti reikalaujama, kad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konkrečiai atspindėtų specifinę įsipareigojimo riziką.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suprasti ir vadovautis </w:t>
      </w:r>
      <w:r w:rsidRPr="00D550C9">
        <w:rPr>
          <w:rFonts w:ascii="Noto Sans" w:hAnsi="Noto Sans" w:cs="Noto Sans"/>
          <w:i/>
          <w:sz w:val="18"/>
          <w:lang w:val="lt-LT"/>
        </w:rPr>
        <w:t xml:space="preserve">vertės </w:t>
      </w:r>
      <w:r w:rsidRPr="00D550C9">
        <w:rPr>
          <w:rFonts w:ascii="Noto Sans" w:hAnsi="Noto Sans" w:cs="Noto Sans"/>
          <w:i/>
          <w:iCs/>
          <w:sz w:val="18"/>
          <w:lang w:val="lt-LT"/>
        </w:rPr>
        <w:t>nustatymo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 xml:space="preserve"> dieną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galiojančia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teisine sistema,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reglamentais, teismų praktika ir kitomis aiškinamosiomis gairėmis, susijusiomis su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tais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vertės pagrindais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(žr. 200-ojo TVS  „Verslas ir verslo interesai“, 30.02 paragrafą).</w:t>
      </w:r>
    </w:p>
    <w:p w14:paraId="7B06C325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pasirinkdamas tinkamus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pradinius duomenis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pinigų vertei laiko atžvilgiu ir neįvykdymo rizikai,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atsižvelgti į vertinamo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galiojimo terminą.</w:t>
      </w:r>
    </w:p>
    <w:p w14:paraId="4D795528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90.05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>Tam tikromis aplinkybėmis dėl neįvykdymo rizikos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vertintojas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tiesiogiai pakoreguoti pinigų srautus.</w:t>
      </w:r>
    </w:p>
    <w:p w14:paraId="42C4BCF8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90.06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Šaliai, įsipareigojusiai įvykdyti prievolę, nustatytos sąlygos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suteikti pradinių įžvalgų, padedančių kiekybiškai įvertinti prievolės neįvykdymo riziką.</w:t>
      </w:r>
    </w:p>
    <w:p w14:paraId="10923CFB" w14:textId="77777777" w:rsidR="00F31AC5" w:rsidRPr="00D550C9" w:rsidRDefault="00F31AC5" w:rsidP="00F31AC5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90.07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Dėl ilgalaikių tam tikrų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pobūdžio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atkreipti dėmesį, ar numatomuose pinigų srautuose buvo atsižvelgta į infliaciją ir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užtikrinti, kad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pinigų srautai būtų parengti taikant tinkamą pagrindą.</w:t>
      </w:r>
    </w:p>
    <w:p w14:paraId="553A1637" w14:textId="77777777" w:rsidR="00F31AC5" w:rsidRPr="00D550C9" w:rsidRDefault="00F31AC5" w:rsidP="00F31AC5">
      <w:pPr>
        <w:tabs>
          <w:tab w:val="left" w:pos="6663"/>
        </w:tabs>
        <w:spacing w:before="160"/>
        <w:ind w:left="900" w:right="1069" w:hanging="450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100.  Pinigų srautų ir rizikos maržų įvertinimas</w:t>
      </w:r>
    </w:p>
    <w:p w14:paraId="30731C31" w14:textId="77777777" w:rsidR="00F31AC5" w:rsidRPr="00D550C9" w:rsidRDefault="00F31AC5" w:rsidP="00F31AC5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103-ojo TVS  „Vertinimo požiūriai“ principai gali būti netaikomi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elementų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atlikti (žr. 103-ojo TVS „Vertinimo požiūriai“ priedo A20.12-A20.19 paragrafus).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 vertinimui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atlikti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taikyti šio standarto 90 ir 100 skirsniuose nurodytus principus.</w:t>
      </w:r>
    </w:p>
    <w:p w14:paraId="0D16024C" w14:textId="5D189AA1" w:rsidR="00AD6E82" w:rsidRPr="00D550C9" w:rsidRDefault="00F31AC5" w:rsidP="00AD6E82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pinigų srautų prognozės dažnai parengiamos atliekant detalų daugybinių scenarijų modeliavimą ir taip sudarant tikėtinų </w:t>
      </w:r>
      <w:r w:rsidRPr="00D550C9">
        <w:rPr>
          <w:rFonts w:ascii="Noto Sans" w:hAnsi="Noto Sans" w:cs="Noto Sans"/>
          <w:i/>
          <w:sz w:val="18"/>
          <w:szCs w:val="18"/>
          <w:lang w:val="lt-LT"/>
        </w:rPr>
        <w:t>svertinių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laukiamų pinigų srautų prognozę. Šis </w:t>
      </w:r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metodas dažnai vadinamas scenarijais pagrįstu metodu (SPM). SPM taip pat apima tam tikras modeliavimo technikas, tokią kaip </w:t>
      </w:r>
      <w:proofErr w:type="spellStart"/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>Monte</w:t>
      </w:r>
      <w:proofErr w:type="spellEnd"/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Karlo modeliavimas. SPM dažniausiai taikomas, kai būsimi mokėjimai sutartyje nenustatyti ir įvairuoja priklausomai nuo būsimų įvykių. Kai nefinansinio </w:t>
      </w:r>
      <w:r w:rsidR="00AD6E82"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pinigų srautai yra sisteminės rizikos veiksnių funkcija, </w:t>
      </w:r>
      <w:r w:rsidR="00AD6E82"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apsvarstyti SPM tinkamumą, nes </w:t>
      </w:r>
      <w:r w:rsidR="00AD6E82"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 tekti</w:t>
      </w:r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naudoti kitus metodus, pagrįstus </w:t>
      </w:r>
      <w:r w:rsidR="00AD6E82" w:rsidRPr="00D550C9">
        <w:rPr>
          <w:rFonts w:ascii="Noto Sans" w:hAnsi="Noto Sans" w:cs="Noto Sans"/>
          <w:sz w:val="18"/>
          <w:szCs w:val="18"/>
          <w:lang w:val="lt-LT"/>
        </w:rPr>
        <w:t>pasirinkimo sandorių</w:t>
      </w:r>
      <w:r w:rsidR="00AD6E82"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įkainojimo metodu (PSĮM).</w:t>
      </w:r>
    </w:p>
    <w:p w14:paraId="2062CDDE" w14:textId="77777777" w:rsidR="00AD6E82" w:rsidRPr="00D550C9" w:rsidRDefault="00AD6E82" w:rsidP="00AD6E82">
      <w:pPr>
        <w:tabs>
          <w:tab w:val="left" w:pos="993"/>
        </w:tabs>
        <w:spacing w:before="120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Nustatant pinigų srautus reikia atsižvelgti ir į plėtrą bei daryti aiškias prielaidas. Neišsamus tokių prielaidų sąrašas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būti:</w:t>
      </w:r>
    </w:p>
    <w:p w14:paraId="0980703B" w14:textId="77777777" w:rsidR="00AD6E82" w:rsidRPr="00D550C9" w:rsidRDefault="00AD6E82" w:rsidP="00AD6E82">
      <w:pPr>
        <w:widowControl w:val="0"/>
        <w:numPr>
          <w:ilvl w:val="0"/>
          <w:numId w:val="12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kurias trečioji šalis patirtų atlikdama užduotis būtinas įvykdyti prievolę,</w:t>
      </w:r>
    </w:p>
    <w:p w14:paraId="1F5E2BDA" w14:textId="77777777" w:rsidR="00AD6E82" w:rsidRPr="00D550C9" w:rsidRDefault="00AD6E82" w:rsidP="00AD6E82">
      <w:pPr>
        <w:widowControl w:val="0"/>
        <w:numPr>
          <w:ilvl w:val="0"/>
          <w:numId w:val="12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kitos sumos, kurias trečioji šalis prisiimtų nustatydama perdavimo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kainą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įskaitant, pavyzdžiui, infliaciją, pridėtines išlaidas, mokesčius už įrenginius, pelno maržą ir technologijos pažangą,</w:t>
      </w:r>
    </w:p>
    <w:p w14:paraId="7AC5084F" w14:textId="77777777" w:rsidR="00AD6E82" w:rsidRPr="00D550C9" w:rsidRDefault="00AD6E82" w:rsidP="00AD6E82">
      <w:pPr>
        <w:widowControl w:val="0"/>
        <w:numPr>
          <w:ilvl w:val="0"/>
          <w:numId w:val="12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trečiosios šalies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sumų ar šių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išlaidų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kitimų laiko atžvilgiu mastas priklausys nuo skirtingų ateities scenarijų ir santykinės tų scenarijų tikimybės,</w:t>
      </w:r>
    </w:p>
    <w:p w14:paraId="73DCAECA" w14:textId="77777777" w:rsidR="00AD6E82" w:rsidRPr="00D550C9" w:rsidRDefault="00AD6E82" w:rsidP="00AD6E82">
      <w:pPr>
        <w:widowControl w:val="0"/>
        <w:numPr>
          <w:ilvl w:val="0"/>
          <w:numId w:val="12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kaina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kurios trečioji šalis reikalautų ir galėtų tikėtis gauti už prievolei būdingų neapibrėžtumų ir nenumatytų aplinkybių prisiėmimą.</w:t>
      </w:r>
    </w:p>
    <w:p w14:paraId="742A7164" w14:textId="77777777" w:rsidR="00AD6E82" w:rsidRPr="00D550C9" w:rsidRDefault="00AD6E82" w:rsidP="00AD6E82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100.04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Nors tikėtini pinigų srautai (t. y. galimų būsimų pinigų srautų </w:t>
      </w:r>
      <w:r w:rsidRPr="00D550C9">
        <w:rPr>
          <w:rFonts w:ascii="Noto Sans" w:hAnsi="Noto Sans" w:cs="Noto Sans"/>
          <w:sz w:val="18"/>
          <w:lang w:val="lt-LT"/>
        </w:rPr>
        <w:t>tikimybinis</w:t>
      </w:r>
      <w:r w:rsidRPr="00D550C9">
        <w:rPr>
          <w:rFonts w:ascii="Noto Sans" w:hAnsi="Noto Sans" w:cs="Noto Sans"/>
          <w:i/>
          <w:sz w:val="18"/>
          <w:lang w:val="lt-LT"/>
        </w:rPr>
        <w:t xml:space="preserve"> </w:t>
      </w:r>
      <w:r w:rsidRPr="00D550C9">
        <w:rPr>
          <w:rFonts w:ascii="Noto Sans" w:hAnsi="Noto Sans" w:cs="Noto Sans"/>
          <w:i/>
          <w:sz w:val="18"/>
          <w:szCs w:val="18"/>
          <w:lang w:val="lt-LT"/>
        </w:rPr>
        <w:t>svertinis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vidurkis) apima kintančius numatomus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turto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pinigų srautų rezultatus, jie neapima kompensacijos, kurios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dalyviai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reikalauja dėl pinigų srautų neapibrėžtumo.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prognozuojama rizika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apimti neapibrėžtumą, kaip, pavyzdžiui, numatomų įvykdymo išlaidų ir įvykdymo maržos pokyčiai. Kompensacija už tokios rizikos prisiėmimą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turėtų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būti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įtraukta į laukiamą išmoką taikant atitinkamą pinigų srautų rizikos maržą arba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.</w:t>
      </w:r>
    </w:p>
    <w:p w14:paraId="1B4D0CD4" w14:textId="77777777" w:rsidR="00AD6E82" w:rsidRPr="00D550C9" w:rsidRDefault="00AD6E82" w:rsidP="00AD6E82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100.05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Atsižvelgiant į atvirkštinį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normos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santykį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norma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sumažinta, kad atspindėtų prognozuojamos rizikos poveikį. Kompensacija už prisiimamą riziką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proporcinga neapibrėžtumui dėl pinigų srautų sumos ir jų laikotarpio. </w:t>
      </w:r>
    </w:p>
    <w:p w14:paraId="75F1F276" w14:textId="77777777" w:rsidR="00AD6E82" w:rsidRPr="00D550C9" w:rsidRDefault="00AD6E82" w:rsidP="00AD6E82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100.06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Prognozuojamą riziką galima apskaičiuoti keičiant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tačiau atsižvelgiant į jos ribotą praktinį taikymą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:</w:t>
      </w:r>
    </w:p>
    <w:p w14:paraId="5DEF83B7" w14:textId="77777777" w:rsidR="00AD6E82" w:rsidRPr="00D550C9" w:rsidRDefault="00AD6E82" w:rsidP="00AD6E82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>a)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paaiškinti, kodėl geriau mažinti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nei prognozuojamą riziką įtraukti į rizikos maržą,</w:t>
      </w:r>
    </w:p>
    <w:p w14:paraId="489CDE38" w14:textId="77777777" w:rsidR="00AD6E82" w:rsidRPr="00D550C9" w:rsidRDefault="00AD6E82" w:rsidP="00AD6E82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>b)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konkrečiai nurodyti teisinę sistemą, reglamentus, teismų praktiką ar kitas aiškinamąsias rekomendacijas, reikalaujančias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numatomą riziką apskaityti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taikant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o ne rizikos maržą (žr. 200-ojo TVS  „Verslas ir verslo interesai“, 30.02 paragrafą).</w:t>
      </w:r>
    </w:p>
    <w:p w14:paraId="25604B96" w14:textId="77777777" w:rsidR="005E405A" w:rsidRPr="00D550C9" w:rsidRDefault="005E405A" w:rsidP="00800620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100.07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Nustatymas rizikos maržą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:</w:t>
      </w:r>
    </w:p>
    <w:p w14:paraId="7A409234" w14:textId="77777777" w:rsidR="005E405A" w:rsidRPr="00D550C9" w:rsidRDefault="005E405A" w:rsidP="005E405A">
      <w:pPr>
        <w:widowControl w:val="0"/>
        <w:numPr>
          <w:ilvl w:val="0"/>
          <w:numId w:val="13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dokumentais pagrįsti metodą, taikomą rizikos maržai nustatyti, įskaitant jo taikymo paaiškinimą, </w:t>
      </w:r>
    </w:p>
    <w:p w14:paraId="1A35D77E" w14:textId="77777777" w:rsidR="005E405A" w:rsidRPr="00D550C9" w:rsidRDefault="005E405A" w:rsidP="005E405A">
      <w:pPr>
        <w:widowControl w:val="0"/>
        <w:numPr>
          <w:ilvl w:val="0"/>
          <w:numId w:val="13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pateikti įrodymus rizikos maržai skaičiuoti, įskaitant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svarbių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pradinių duomenų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identifikavimą ir jų kilmę ar šaltinį.</w:t>
      </w:r>
    </w:p>
    <w:p w14:paraId="1E98C754" w14:textId="77777777" w:rsidR="005E405A" w:rsidRPr="00D550C9" w:rsidRDefault="005E405A" w:rsidP="00800620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100.08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Norėdamas nustatyti pinigų srautų rizikos maržą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atsižvelgti į:</w:t>
      </w:r>
    </w:p>
    <w:p w14:paraId="6623B116" w14:textId="77777777" w:rsidR="005E405A" w:rsidRPr="00D550C9" w:rsidRDefault="005E405A" w:rsidP="005E405A">
      <w:pPr>
        <w:widowControl w:val="0"/>
        <w:numPr>
          <w:ilvl w:val="0"/>
          <w:numId w:val="14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gyvavimo amžių ir (arba) galiojimo laiką bei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pradinių duomenų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atitiktį tam,</w:t>
      </w:r>
    </w:p>
    <w:p w14:paraId="024D9574" w14:textId="77777777" w:rsidR="005E405A" w:rsidRPr="00D550C9" w:rsidRDefault="005E405A" w:rsidP="005E405A">
      <w:pPr>
        <w:widowControl w:val="0"/>
        <w:numPr>
          <w:ilvl w:val="0"/>
          <w:numId w:val="14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geografinę vietą ir (arba) rinkų vietą, kuriose būtų prekiaujama,</w:t>
      </w:r>
    </w:p>
    <w:p w14:paraId="756B2B4D" w14:textId="77777777" w:rsidR="005E405A" w:rsidRPr="00D550C9" w:rsidRDefault="005E405A" w:rsidP="005E405A">
      <w:pPr>
        <w:widowControl w:val="0"/>
        <w:numPr>
          <w:ilvl w:val="0"/>
          <w:numId w:val="14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prognozuojamų pinigų srautų valiutą,</w:t>
      </w:r>
    </w:p>
    <w:p w14:paraId="2B69109A" w14:textId="77777777" w:rsidR="005E405A" w:rsidRPr="00D550C9" w:rsidRDefault="005E405A" w:rsidP="005E405A">
      <w:pPr>
        <w:widowControl w:val="0"/>
        <w:numPr>
          <w:ilvl w:val="0"/>
          <w:numId w:val="14"/>
        </w:numPr>
        <w:tabs>
          <w:tab w:val="left" w:pos="1418"/>
          <w:tab w:val="left" w:pos="7088"/>
        </w:tabs>
        <w:spacing w:before="40" w:after="0" w:line="240" w:lineRule="auto"/>
        <w:ind w:left="1418" w:right="911" w:hanging="425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prognozėje nurodytų pinigų srautų tipą, pavyzdžiui, pinigų srautų prognozė gali atspindėti tikėtinus pinigų srautus (t. y. </w:t>
      </w:r>
      <w:r w:rsidRPr="00D550C9">
        <w:rPr>
          <w:rFonts w:ascii="Noto Sans" w:hAnsi="Noto Sans" w:cs="Noto Sans"/>
          <w:sz w:val="18"/>
          <w:lang w:val="lt-LT"/>
        </w:rPr>
        <w:t>tikimybinius</w:t>
      </w:r>
      <w:r w:rsidRPr="00D550C9">
        <w:rPr>
          <w:rFonts w:ascii="Noto Sans" w:hAnsi="Noto Sans" w:cs="Noto Sans"/>
          <w:i/>
          <w:sz w:val="18"/>
          <w:lang w:val="lt-LT"/>
        </w:rPr>
        <w:t xml:space="preserve"> </w:t>
      </w:r>
      <w:r w:rsidRPr="00D550C9">
        <w:rPr>
          <w:rFonts w:ascii="Noto Sans" w:hAnsi="Noto Sans" w:cs="Noto Sans"/>
          <w:i/>
          <w:sz w:val="18"/>
          <w:szCs w:val="18"/>
          <w:lang w:val="lt-LT"/>
        </w:rPr>
        <w:t xml:space="preserve">svertinius </w:t>
      </w:r>
      <w:r w:rsidRPr="00D550C9">
        <w:rPr>
          <w:rFonts w:ascii="Noto Sans" w:hAnsi="Noto Sans" w:cs="Noto Sans"/>
          <w:sz w:val="18"/>
          <w:szCs w:val="18"/>
          <w:lang w:val="lt-LT"/>
        </w:rPr>
        <w:t>scenarijus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) arba labiausiai tikėtinus pinigų srautus ar pinigų srautus pagal sutartis ir kt.</w:t>
      </w:r>
    </w:p>
    <w:p w14:paraId="78AEB670" w14:textId="77777777" w:rsidR="005E405A" w:rsidRPr="00D550C9" w:rsidRDefault="005E405A" w:rsidP="00800620">
      <w:pPr>
        <w:tabs>
          <w:tab w:val="left" w:pos="993"/>
        </w:tabs>
        <w:spacing w:before="106" w:after="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100.09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Nustatydamas pinigų srautų rizikos maržą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atsižvelgti į:</w:t>
      </w:r>
    </w:p>
    <w:p w14:paraId="6199E65D" w14:textId="77777777" w:rsidR="005E405A" w:rsidRPr="00D550C9" w:rsidRDefault="005E405A" w:rsidP="005E405A">
      <w:pPr>
        <w:widowControl w:val="0"/>
        <w:numPr>
          <w:ilvl w:val="0"/>
          <w:numId w:val="15"/>
        </w:numPr>
        <w:tabs>
          <w:tab w:val="left" w:pos="1418"/>
          <w:tab w:val="left" w:pos="7088"/>
        </w:tabs>
        <w:spacing w:before="40" w:after="0" w:line="240" w:lineRule="auto"/>
        <w:ind w:left="1276" w:right="911" w:hanging="283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tai, kad kuo yra mažesnis tikrumas dėl numatomų įvykdymo išlaidų ir įvykdymo maržos, tuo rizikos marža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didesnė,</w:t>
      </w:r>
    </w:p>
    <w:p w14:paraId="68276B67" w14:textId="77777777" w:rsidR="005E405A" w:rsidRPr="00D550C9" w:rsidRDefault="005E405A" w:rsidP="005E405A">
      <w:pPr>
        <w:widowControl w:val="0"/>
        <w:numPr>
          <w:ilvl w:val="0"/>
          <w:numId w:val="15"/>
        </w:numPr>
        <w:tabs>
          <w:tab w:val="left" w:pos="1418"/>
          <w:tab w:val="left" w:pos="7088"/>
        </w:tabs>
        <w:spacing w:before="40" w:after="0" w:line="240" w:lineRule="auto"/>
        <w:ind w:left="1276" w:right="911" w:hanging="283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atsižvelgiant į apibrėžtą daugumos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terminą, kaip priešingą neapibrėžtam daugumos verslo ar turto terminui, tiek, kiek atsirandanti patirtis sumažina neapibrėžtumą, rizikos marža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mažėti ir jei atvirkščiai – didėti,</w:t>
      </w:r>
    </w:p>
    <w:p w14:paraId="4B5044A8" w14:textId="77777777" w:rsidR="005E405A" w:rsidRPr="00D550C9" w:rsidRDefault="005E405A" w:rsidP="005E405A">
      <w:pPr>
        <w:widowControl w:val="0"/>
        <w:numPr>
          <w:ilvl w:val="0"/>
          <w:numId w:val="15"/>
        </w:numPr>
        <w:tabs>
          <w:tab w:val="left" w:pos="1418"/>
          <w:tab w:val="left" w:pos="7088"/>
        </w:tabs>
        <w:spacing w:before="40" w:after="0" w:line="240" w:lineRule="auto"/>
        <w:ind w:left="1276" w:right="911" w:hanging="283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tikėtiną rezultatų pasiskirstymą ir galimybę, kad tam tikri nefinansiniai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gali turėti aukštą labai retai pasitaikančių įvykių riziką (angl. – „</w:t>
      </w:r>
      <w:proofErr w:type="spellStart"/>
      <w:r w:rsidRPr="00D550C9">
        <w:rPr>
          <w:rFonts w:ascii="Noto Sans" w:hAnsi="Noto Sans" w:cs="Noto Sans"/>
          <w:bCs/>
          <w:sz w:val="18"/>
          <w:szCs w:val="24"/>
          <w:lang w:val="lt-LT"/>
        </w:rPr>
        <w:t>tail</w:t>
      </w:r>
      <w:proofErr w:type="spellEnd"/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risk“) ar griežtas sąlygas. Nefinansiniams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įsipareigojimams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turintiems didelę sklaidą ir sąlygų griežtumą, rizikos marža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didesnė,</w:t>
      </w:r>
    </w:p>
    <w:p w14:paraId="6166ACA2" w14:textId="77777777" w:rsidR="005E405A" w:rsidRPr="00D550C9" w:rsidRDefault="005E405A" w:rsidP="005E405A">
      <w:pPr>
        <w:widowControl w:val="0"/>
        <w:numPr>
          <w:ilvl w:val="0"/>
          <w:numId w:val="15"/>
        </w:numPr>
        <w:tabs>
          <w:tab w:val="left" w:pos="1418"/>
          <w:tab w:val="left" w:pos="7088"/>
        </w:tabs>
        <w:spacing w:before="40" w:after="0" w:line="240" w:lineRule="auto"/>
        <w:ind w:left="1276" w:right="911" w:hanging="283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atitinkamo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(arba) teisių į bet kokį susijusį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 turtą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pirmumą likvidavimo atveju. </w:t>
      </w:r>
    </w:p>
    <w:p w14:paraId="3AF9A742" w14:textId="77777777" w:rsidR="005E405A" w:rsidRPr="00D550C9" w:rsidRDefault="005E405A" w:rsidP="005E405A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100.10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Pinigų srautų rizikos marža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kompensacija, kurios </w:t>
      </w:r>
      <w:r w:rsidRPr="00D550C9">
        <w:rPr>
          <w:rFonts w:ascii="Noto Sans" w:hAnsi="Noto Sans" w:cs="Noto Sans"/>
          <w:sz w:val="18"/>
          <w:szCs w:val="24"/>
          <w:lang w:val="lt-LT"/>
        </w:rPr>
        <w:t>dydis būtų skirtumas tarp to, ko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reikalautų šalis, neutrali dėl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, kurio įvykdymo rezultatai būtų neapibrėžti, ir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, kuris kurtų fiksuotas pinigų sumas.</w:t>
      </w:r>
    </w:p>
    <w:p w14:paraId="169251BE" w14:textId="77777777" w:rsidR="005E405A" w:rsidRPr="00D550C9" w:rsidRDefault="005E405A" w:rsidP="005E405A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100.11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Sudarydamas pinigų srautus ir nustatydamas rizikos maržą,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pasinaudoti visa prieinama informacija.</w:t>
      </w:r>
    </w:p>
    <w:p w14:paraId="0656936F" w14:textId="77777777" w:rsidR="005E405A" w:rsidRPr="00D550C9" w:rsidRDefault="005E405A" w:rsidP="005E405A">
      <w:pPr>
        <w:tabs>
          <w:tab w:val="left" w:pos="666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110.</w:t>
      </w:r>
      <w:r w:rsidRPr="00D550C9">
        <w:rPr>
          <w:rFonts w:ascii="Noto Sans" w:hAnsi="Noto Sans" w:cs="Noto Sans"/>
          <w:b/>
          <w:sz w:val="18"/>
          <w:szCs w:val="24"/>
          <w:lang w:val="lt-LT"/>
        </w:rPr>
        <w:tab/>
        <w:t>Perdavimo apribojimai</w:t>
      </w:r>
    </w:p>
    <w:p w14:paraId="4262BFA6" w14:textId="77777777" w:rsidR="005E405A" w:rsidRPr="00D550C9" w:rsidRDefault="005E405A" w:rsidP="005E405A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110.01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perdavimo galimybės dažnai yra ribotos. Apribojimai yra sutartiniai pagal pobūdį arba dėl vertinamų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nelikvidžios rinkos.</w:t>
      </w:r>
    </w:p>
    <w:p w14:paraId="43A582DD" w14:textId="77777777" w:rsidR="008B44C7" w:rsidRPr="00D550C9" w:rsidRDefault="008B44C7" w:rsidP="008B44C7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110.02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Pasikliaudamas rinkos duomenimis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apsvarstyti verslo subjekto gebėjimą perduoti tokius nefinansinius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ir ar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daromos korekcijos, atspindinčios apribojimus.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 xml:space="preserve">Vertintojui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tekti išsiaiškinti, ar įsipareigojimų perdavimo apribojimai yra 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charakteristikos, ar verslo subjektui taikomi apribojimai. Konkretus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vertės pagrindas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lemti, kuris iš apribojimų būtų nagrinėjamas (žr. 220-ąjį TVS  „Nefinansiniai įsipareigojimai“, 50.09 paragrafą).</w:t>
      </w:r>
    </w:p>
    <w:p w14:paraId="3F9A1FD8" w14:textId="77777777" w:rsidR="008B44C7" w:rsidRPr="00D550C9" w:rsidRDefault="008B44C7" w:rsidP="008B44C7">
      <w:pPr>
        <w:tabs>
          <w:tab w:val="left" w:pos="993"/>
        </w:tabs>
        <w:spacing w:before="106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110.03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Remdamasis pajamų požiūriu, pagal kurį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vertė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apskaičiuojama pagal įvykdymo būdą,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nuspręsti, ar šalis reikalautų papildomos rizikos maržos dėl nefinansinio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perdavimo apribojimų.</w:t>
      </w:r>
    </w:p>
    <w:p w14:paraId="16C466DB" w14:textId="77777777" w:rsidR="008B44C7" w:rsidRPr="00D550C9" w:rsidRDefault="008B44C7" w:rsidP="008B44C7">
      <w:pPr>
        <w:tabs>
          <w:tab w:val="left" w:pos="6663"/>
        </w:tabs>
        <w:spacing w:before="146"/>
        <w:ind w:left="993" w:right="1069" w:hanging="709"/>
        <w:rPr>
          <w:rFonts w:ascii="Noto Sans" w:hAnsi="Noto Sans" w:cs="Noto Sans"/>
          <w:b/>
          <w:sz w:val="18"/>
          <w:szCs w:val="24"/>
          <w:lang w:val="lt-LT"/>
        </w:rPr>
      </w:pPr>
      <w:r w:rsidRPr="00D550C9">
        <w:rPr>
          <w:rFonts w:ascii="Noto Sans" w:hAnsi="Noto Sans" w:cs="Noto Sans"/>
          <w:b/>
          <w:sz w:val="18"/>
          <w:szCs w:val="24"/>
          <w:lang w:val="lt-LT"/>
        </w:rPr>
        <w:t>120.</w:t>
      </w:r>
      <w:r w:rsidRPr="00D550C9">
        <w:rPr>
          <w:rFonts w:ascii="Noto Sans" w:hAnsi="Noto Sans" w:cs="Noto Sans"/>
          <w:b/>
          <w:sz w:val="18"/>
          <w:szCs w:val="24"/>
          <w:lang w:val="lt-LT"/>
        </w:rPr>
        <w:tab/>
        <w:t>Mokesčiai</w:t>
      </w:r>
    </w:p>
    <w:p w14:paraId="07AA9AAE" w14:textId="77777777" w:rsidR="008B44C7" w:rsidRPr="00D550C9" w:rsidRDefault="008B44C7" w:rsidP="008B44C7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120.01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Nefinansinių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vertinimui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atlikti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turėtų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taikyti tiek pinigų srautus, tiek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prieš apmokestinimą. </w:t>
      </w:r>
    </w:p>
    <w:p w14:paraId="36FCC4C0" w14:textId="77777777" w:rsidR="008B44C7" w:rsidRPr="00D550C9" w:rsidRDefault="008B44C7" w:rsidP="008B44C7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120.02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Tam tikromis aplinkybėmis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tikslinga atlikti analizę nustatant  pinigų srautus po mokesčių ir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diskonto normą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po mokesčių. Tokiais atvejais </w:t>
      </w:r>
      <w:r w:rsidRPr="00D550C9">
        <w:rPr>
          <w:rFonts w:ascii="Noto Sans" w:hAnsi="Noto Sans" w:cs="Noto Sans"/>
          <w:bCs/>
          <w:i/>
          <w:sz w:val="18"/>
          <w:szCs w:val="24"/>
          <w:lang w:val="lt-LT"/>
        </w:rPr>
        <w:t>vertintojas privalo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paaiškinti pradinių duomenų po pelno mokesčių naudojimą arba konkrečiai nurodyti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teisinę sistemą,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reglamentus, teismų praktiką ar rekomendacijas, pagal kurias nurodoma naudoti pradinius duomenis po mokesčių (žr. 200-ojo  TVS „Verslas ir verslo interesai“ 30.02 paragrafą). </w:t>
      </w:r>
    </w:p>
    <w:p w14:paraId="1A14D4CA" w14:textId="77777777" w:rsidR="008B44C7" w:rsidRPr="00D550C9" w:rsidRDefault="008B44C7" w:rsidP="008B44C7">
      <w:pPr>
        <w:tabs>
          <w:tab w:val="left" w:pos="993"/>
        </w:tabs>
        <w:spacing w:before="120"/>
        <w:ind w:left="993" w:right="911" w:hanging="7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D550C9">
        <w:rPr>
          <w:rFonts w:ascii="Noto Sans" w:hAnsi="Noto Sans" w:cs="Noto Sans"/>
          <w:bCs/>
          <w:sz w:val="18"/>
          <w:szCs w:val="24"/>
          <w:lang w:val="lt-LT"/>
        </w:rPr>
        <w:t>120.03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ab/>
        <w:t xml:space="preserve">Jei naudojami pradiniai duomenys po mokesčių, </w:t>
      </w:r>
      <w:r w:rsidRPr="00D550C9">
        <w:rPr>
          <w:rFonts w:ascii="Noto Sans" w:hAnsi="Noto Sans" w:cs="Noto Sans"/>
          <w:bCs/>
          <w:iCs/>
          <w:sz w:val="18"/>
          <w:szCs w:val="24"/>
          <w:lang w:val="lt-LT"/>
        </w:rPr>
        <w:t>gali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 xml:space="preserve"> būti tikslinga atsižvelgti į mokesčių naudą, kurią sukuria prognozuojamas pinigų srautas, susijęs su nefinansiniu </w:t>
      </w:r>
      <w:r w:rsidRPr="00D550C9">
        <w:rPr>
          <w:rFonts w:ascii="Noto Sans" w:hAnsi="Noto Sans" w:cs="Noto Sans"/>
          <w:bCs/>
          <w:i/>
          <w:iCs/>
          <w:sz w:val="18"/>
          <w:szCs w:val="24"/>
          <w:lang w:val="lt-LT"/>
        </w:rPr>
        <w:t>įsipareigojimu</w:t>
      </w:r>
      <w:r w:rsidRPr="00D550C9">
        <w:rPr>
          <w:rFonts w:ascii="Noto Sans" w:hAnsi="Noto Sans" w:cs="Noto Sans"/>
          <w:bCs/>
          <w:sz w:val="18"/>
          <w:szCs w:val="24"/>
          <w:lang w:val="lt-LT"/>
        </w:rPr>
        <w:t>.</w:t>
      </w:r>
    </w:p>
    <w:p w14:paraId="4BA0D74B" w14:textId="77777777" w:rsidR="00000D01" w:rsidRPr="00D550C9" w:rsidRDefault="00000D01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8C528FE" w14:textId="77777777" w:rsidR="005E3540" w:rsidRPr="00D550C9" w:rsidRDefault="005E3540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BA0D74C" w14:textId="77777777" w:rsidR="0007236B" w:rsidRPr="00D550C9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D550C9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D74F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4BA0D750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0D751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D74D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4BA0D74E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8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87231B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84032E2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5C3EAA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3B71FF4"/>
    <w:multiLevelType w:val="multilevel"/>
    <w:tmpl w:val="36B669F0"/>
    <w:lvl w:ilvl="0">
      <w:start w:val="50"/>
      <w:numFmt w:val="decimal"/>
      <w:lvlText w:val="%1."/>
      <w:lvlJc w:val="left"/>
      <w:pPr>
        <w:ind w:left="960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87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38097C5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E241CC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3654CA"/>
    <w:multiLevelType w:val="multilevel"/>
    <w:tmpl w:val="58402118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9" w15:restartNumberingAfterBreak="0">
    <w:nsid w:val="658B4F84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E0163A7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E475F31"/>
    <w:multiLevelType w:val="multilevel"/>
    <w:tmpl w:val="58402118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12" w15:restartNumberingAfterBreak="0">
    <w:nsid w:val="778F07F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D0A3DBA"/>
    <w:multiLevelType w:val="hybridMultilevel"/>
    <w:tmpl w:val="1878074C"/>
    <w:lvl w:ilvl="0" w:tplc="46C670A8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F930F8E"/>
    <w:multiLevelType w:val="multilevel"/>
    <w:tmpl w:val="E812A6B4"/>
    <w:lvl w:ilvl="0">
      <w:start w:val="1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671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num w:numId="1" w16cid:durableId="1304968391">
    <w:abstractNumId w:val="7"/>
  </w:num>
  <w:num w:numId="2" w16cid:durableId="1881092222">
    <w:abstractNumId w:val="14"/>
  </w:num>
  <w:num w:numId="3" w16cid:durableId="1126968506">
    <w:abstractNumId w:val="12"/>
  </w:num>
  <w:num w:numId="4" w16cid:durableId="1608586799">
    <w:abstractNumId w:val="6"/>
  </w:num>
  <w:num w:numId="5" w16cid:durableId="2098357296">
    <w:abstractNumId w:val="5"/>
  </w:num>
  <w:num w:numId="6" w16cid:durableId="138425250">
    <w:abstractNumId w:val="4"/>
  </w:num>
  <w:num w:numId="7" w16cid:durableId="785003353">
    <w:abstractNumId w:val="3"/>
  </w:num>
  <w:num w:numId="8" w16cid:durableId="794981891">
    <w:abstractNumId w:val="10"/>
  </w:num>
  <w:num w:numId="9" w16cid:durableId="707993105">
    <w:abstractNumId w:val="11"/>
  </w:num>
  <w:num w:numId="10" w16cid:durableId="528105255">
    <w:abstractNumId w:val="8"/>
  </w:num>
  <w:num w:numId="11" w16cid:durableId="1174421812">
    <w:abstractNumId w:val="2"/>
  </w:num>
  <w:num w:numId="12" w16cid:durableId="158156763">
    <w:abstractNumId w:val="1"/>
  </w:num>
  <w:num w:numId="13" w16cid:durableId="1192304257">
    <w:abstractNumId w:val="13"/>
  </w:num>
  <w:num w:numId="14" w16cid:durableId="1170171868">
    <w:abstractNumId w:val="0"/>
  </w:num>
  <w:num w:numId="15" w16cid:durableId="661083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7236B"/>
    <w:rsid w:val="00241954"/>
    <w:rsid w:val="00246DBB"/>
    <w:rsid w:val="00256614"/>
    <w:rsid w:val="003721F6"/>
    <w:rsid w:val="00437C67"/>
    <w:rsid w:val="00451098"/>
    <w:rsid w:val="00504FA0"/>
    <w:rsid w:val="00522E87"/>
    <w:rsid w:val="005465DB"/>
    <w:rsid w:val="005E3540"/>
    <w:rsid w:val="005E405A"/>
    <w:rsid w:val="00771DCC"/>
    <w:rsid w:val="007D0548"/>
    <w:rsid w:val="00800620"/>
    <w:rsid w:val="008B44C7"/>
    <w:rsid w:val="009544EF"/>
    <w:rsid w:val="0099758B"/>
    <w:rsid w:val="00AD6E82"/>
    <w:rsid w:val="00B8137D"/>
    <w:rsid w:val="00BA51FC"/>
    <w:rsid w:val="00C07DFD"/>
    <w:rsid w:val="00D550C9"/>
    <w:rsid w:val="00F31AC5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D74A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styleId="ListParagraph">
    <w:name w:val="List Paragraph"/>
    <w:basedOn w:val="Normal"/>
    <w:uiPriority w:val="1"/>
    <w:qFormat/>
    <w:rsid w:val="009544EF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9544EF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9F869D5F-B1D5-4650-8546-2133F63543C0}"/>
</file>

<file path=customXml/itemProps2.xml><?xml version="1.0" encoding="utf-8"?>
<ds:datastoreItem xmlns:ds="http://schemas.openxmlformats.org/officeDocument/2006/customXml" ds:itemID="{2698A78A-C4E6-4A1C-BD5D-888F380935B1}"/>
</file>

<file path=customXml/itemProps3.xml><?xml version="1.0" encoding="utf-8"?>
<ds:datastoreItem xmlns:ds="http://schemas.openxmlformats.org/officeDocument/2006/customXml" ds:itemID="{6B81BCC2-71CE-46B7-933E-EEA3934C2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8</Pages>
  <Words>16454</Words>
  <Characters>9379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23</cp:revision>
  <dcterms:created xsi:type="dcterms:W3CDTF">2017-06-29T05:00:00Z</dcterms:created>
  <dcterms:modified xsi:type="dcterms:W3CDTF">2025-01-15T06:13:00Z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