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B568" w14:textId="77777777" w:rsidR="00DA0A08" w:rsidRPr="0059058B" w:rsidRDefault="00DA0A08" w:rsidP="00DA0A08">
      <w:pPr>
        <w:rPr>
          <w:rFonts w:ascii="Arial" w:hAnsi="Arial" w:cs="Arial"/>
          <w:sz w:val="20"/>
          <w:szCs w:val="20"/>
          <w:lang w:val="lt-LT"/>
        </w:rPr>
      </w:pPr>
    </w:p>
    <w:p w14:paraId="7FC91292" w14:textId="77777777" w:rsidR="00DA0A08" w:rsidRPr="0059058B" w:rsidRDefault="00DA0A08" w:rsidP="00DA0A08">
      <w:pPr>
        <w:pStyle w:val="Heading11"/>
        <w:spacing w:before="49"/>
        <w:ind w:left="0" w:right="1630"/>
        <w:rPr>
          <w:rFonts w:cs="Arial"/>
          <w:b w:val="0"/>
          <w:bCs w:val="0"/>
        </w:rPr>
      </w:pPr>
      <w:r w:rsidRPr="0059058B">
        <w:rPr>
          <w:rFonts w:cs="Arial"/>
          <w:color w:val="231F20"/>
        </w:rPr>
        <w:t>Įvadas</w:t>
      </w:r>
    </w:p>
    <w:p w14:paraId="59063EA2" w14:textId="77777777" w:rsidR="00DA0A08" w:rsidRPr="0059058B" w:rsidRDefault="00DA0A08" w:rsidP="00DA0A08">
      <w:pPr>
        <w:rPr>
          <w:rFonts w:ascii="Arial" w:hAnsi="Arial" w:cs="Arial"/>
          <w:b/>
          <w:bCs/>
          <w:sz w:val="40"/>
          <w:szCs w:val="40"/>
          <w:lang w:val="lt-LT"/>
        </w:rPr>
      </w:pPr>
    </w:p>
    <w:p w14:paraId="5F9DA544" w14:textId="77777777" w:rsidR="00DA0A08" w:rsidRPr="0059058B" w:rsidRDefault="00DA0A08" w:rsidP="00DA0A08">
      <w:pPr>
        <w:pStyle w:val="BodyText"/>
        <w:spacing w:before="172" w:line="249" w:lineRule="auto"/>
        <w:ind w:left="284" w:right="119" w:firstLine="0"/>
        <w:jc w:val="both"/>
        <w:rPr>
          <w:rFonts w:ascii="Noto Sans" w:hAnsi="Noto Sans" w:cs="Noto Sans"/>
        </w:rPr>
      </w:pPr>
      <w:r w:rsidRPr="0059058B">
        <w:rPr>
          <w:rFonts w:ascii="Noto Sans" w:hAnsi="Noto Sans" w:cs="Noto Sans"/>
          <w:color w:val="231F20"/>
        </w:rPr>
        <w:t xml:space="preserve">Tarptautinė vertinimo standartų taryba (TVST) yra nepriklausoma ne pelno organizacija, kuri siekia tobulinti vertinimo kokybę. Jos pagrindinis tikslas yra sukurti  visuomenės pasitikėjimą </w:t>
      </w:r>
      <w:r w:rsidRPr="0059058B">
        <w:rPr>
          <w:rFonts w:ascii="Noto Sans" w:hAnsi="Noto Sans" w:cs="Noto Sans"/>
          <w:iCs/>
          <w:color w:val="231F20"/>
        </w:rPr>
        <w:t>vertinimu</w:t>
      </w:r>
      <w:r w:rsidRPr="0059058B">
        <w:rPr>
          <w:rFonts w:ascii="Noto Sans" w:hAnsi="Noto Sans" w:cs="Noto Sans"/>
          <w:color w:val="231F20"/>
        </w:rPr>
        <w:t xml:space="preserve">, kurti standartus ir užtikrinti universalų jų pritaikymą ir </w:t>
      </w:r>
      <w:r w:rsidRPr="0059058B">
        <w:rPr>
          <w:rFonts w:ascii="Noto Sans" w:hAnsi="Noto Sans" w:cs="Noto Sans"/>
        </w:rPr>
        <w:t xml:space="preserve">įgyvendinimą </w:t>
      </w:r>
      <w:r w:rsidRPr="0059058B">
        <w:rPr>
          <w:rFonts w:ascii="Noto Sans" w:hAnsi="Noto Sans" w:cs="Noto Sans"/>
          <w:iCs/>
        </w:rPr>
        <w:t>vertinant turtą</w:t>
      </w:r>
      <w:r w:rsidRPr="0059058B">
        <w:rPr>
          <w:rFonts w:ascii="Noto Sans" w:hAnsi="Noto Sans" w:cs="Noto Sans"/>
        </w:rPr>
        <w:t xml:space="preserve"> visame pasaulyje. TVST nuomone, Tarptautiniai vertinimo standartai (TVS) yra esminė finansų sistemos dalis. </w:t>
      </w:r>
    </w:p>
    <w:p w14:paraId="3DDA086E" w14:textId="77777777" w:rsidR="00DA0A08" w:rsidRPr="0059058B" w:rsidRDefault="00DA0A08" w:rsidP="00DA0A08">
      <w:pPr>
        <w:pStyle w:val="BodyText"/>
        <w:spacing w:before="172" w:line="249" w:lineRule="auto"/>
        <w:ind w:left="284" w:right="119" w:firstLine="0"/>
        <w:jc w:val="both"/>
        <w:rPr>
          <w:rFonts w:ascii="Noto Sans" w:hAnsi="Noto Sans" w:cs="Noto Sans"/>
          <w:iCs/>
          <w:strike/>
        </w:rPr>
      </w:pPr>
      <w:r w:rsidRPr="0059058B">
        <w:rPr>
          <w:rFonts w:ascii="Noto Sans" w:hAnsi="Noto Sans" w:cs="Noto Sans"/>
          <w:iCs/>
        </w:rPr>
        <w:t>Vertinimas</w:t>
      </w:r>
      <w:r w:rsidRPr="0059058B">
        <w:rPr>
          <w:rFonts w:ascii="Noto Sans" w:hAnsi="Noto Sans" w:cs="Noto Sans"/>
        </w:rPr>
        <w:t xml:space="preserve"> plačiai taikomas ir juo remiamasi finansų rinkose ir kitose srityse tiek įtraukiant vertinimo rezultatus į finansines ataskaitas, tiek užtikrinant saugų skolinimą ir sandorių sudarymą. </w:t>
      </w:r>
    </w:p>
    <w:p w14:paraId="70823EEC" w14:textId="77777777" w:rsidR="00DA0A08" w:rsidRPr="0059058B" w:rsidRDefault="00DA0A08" w:rsidP="00DA0A08">
      <w:pPr>
        <w:pStyle w:val="BodyText"/>
        <w:spacing w:before="172" w:line="249" w:lineRule="auto"/>
        <w:ind w:left="284" w:right="119" w:firstLine="0"/>
        <w:jc w:val="both"/>
        <w:rPr>
          <w:rFonts w:ascii="Noto Sans" w:eastAsia="Noto Sans" w:hAnsi="Noto Sans" w:cs="Noto Sans"/>
          <w:lang w:eastAsia="en-US"/>
        </w:rPr>
      </w:pPr>
      <w:r w:rsidRPr="0059058B">
        <w:rPr>
          <w:rFonts w:ascii="Noto Sans" w:eastAsia="Noto Sans" w:hAnsi="Noto Sans" w:cs="Noto Sans"/>
          <w:iCs/>
          <w:lang w:eastAsia="en-US"/>
        </w:rPr>
        <w:t>TVS tikslas yra skatinti ir palaikyti aukštą visuomenės pasitikėjimo vertinimo praktika lygį. Todėl TVS nustato tinkamus visuotinus vertinimo reikalavimus, taikomus ir procese dalyvaujančioms šalims, ir tiems, kurie prižiūri šį procesą.</w:t>
      </w:r>
    </w:p>
    <w:p w14:paraId="4FB4D134" w14:textId="77777777" w:rsidR="00DA0A08" w:rsidRPr="0059058B" w:rsidRDefault="00DA0A08" w:rsidP="00DA0A08">
      <w:pPr>
        <w:spacing w:before="172"/>
        <w:ind w:left="284" w:right="119"/>
        <w:jc w:val="both"/>
        <w:rPr>
          <w:rFonts w:ascii="Noto Sans" w:hAnsi="Noto Sans" w:cs="Noto Sans"/>
          <w:iCs/>
          <w:sz w:val="18"/>
          <w:szCs w:val="18"/>
          <w:lang w:val="lt-LT"/>
        </w:rPr>
      </w:pPr>
      <w:r w:rsidRPr="0059058B">
        <w:rPr>
          <w:rFonts w:ascii="Noto Sans" w:hAnsi="Noto Sans" w:cs="Noto Sans"/>
          <w:iCs/>
          <w:sz w:val="18"/>
          <w:szCs w:val="18"/>
          <w:lang w:val="lt-LT"/>
        </w:rPr>
        <w:t xml:space="preserve">TVS apibrėžia vertinimo procesą, kuriame gali dalyvauti kelios šalys (įskaitant specialistus ir paslaugas teikiančias organizacijas). Už sprendimą dėl atitikties TVS galiausiai atsakingas yra vertintojas. </w:t>
      </w:r>
    </w:p>
    <w:p w14:paraId="66CAA044" w14:textId="77777777" w:rsidR="00DA0A08" w:rsidRPr="0059058B" w:rsidRDefault="00DA0A08" w:rsidP="00DA0A08">
      <w:pPr>
        <w:spacing w:before="172"/>
        <w:ind w:left="284" w:right="119"/>
        <w:jc w:val="both"/>
        <w:rPr>
          <w:rFonts w:ascii="Noto Sans" w:hAnsi="Noto Sans" w:cs="Noto Sans"/>
          <w:iCs/>
          <w:sz w:val="18"/>
          <w:szCs w:val="18"/>
          <w:lang w:val="lt-LT"/>
        </w:rPr>
      </w:pPr>
      <w:r w:rsidRPr="0059058B">
        <w:rPr>
          <w:rFonts w:ascii="Noto Sans" w:hAnsi="Noto Sans" w:cs="Noto Sans"/>
          <w:iCs/>
          <w:sz w:val="18"/>
          <w:szCs w:val="18"/>
          <w:lang w:val="lt-LT"/>
        </w:rPr>
        <w:t xml:space="preserve">TVS parengti grindžiant tuo, kad šiuos standartus taikantys vertintojai yra kompetentingi ir turi reikiamų žinių, patirties, apmokyti, įgiję išsilavinimą kad galėtų atilikti vertinimus. TVS vertintoją apibrėžia kaip asmenį, asmenų grupę arba asmenį įmonėje, nepriklausomai ar juos sieja vidiniai (darbo) ar išoriniai (sutartiniai) santykiai, turintis būtiną kvalifikaciją, kompetenciją ar patirtį atlikti </w:t>
      </w:r>
      <w:r w:rsidRPr="0059058B">
        <w:rPr>
          <w:rFonts w:ascii="Noto Sans" w:hAnsi="Noto Sans" w:cs="Noto Sans"/>
          <w:sz w:val="18"/>
          <w:szCs w:val="18"/>
          <w:lang w:val="lt-LT"/>
        </w:rPr>
        <w:t>vertinimą</w:t>
      </w:r>
      <w:r w:rsidRPr="0059058B">
        <w:rPr>
          <w:rFonts w:ascii="Noto Sans" w:hAnsi="Noto Sans" w:cs="Noto Sans"/>
          <w:iCs/>
          <w:sz w:val="18"/>
          <w:szCs w:val="18"/>
          <w:lang w:val="lt-LT"/>
        </w:rPr>
        <w:t xml:space="preserve"> objektyviai, nešališkai, etiškai ir kompetentingai.</w:t>
      </w:r>
      <w:r w:rsidRPr="0059058B">
        <w:rPr>
          <w:rFonts w:ascii="Noto Sans" w:hAnsi="Noto Sans" w:cs="Noto Sans"/>
          <w:iCs/>
          <w:lang w:val="lt-LT"/>
        </w:rPr>
        <w:t xml:space="preserve"> </w:t>
      </w:r>
      <w:r w:rsidRPr="0059058B">
        <w:rPr>
          <w:rFonts w:ascii="Noto Sans" w:hAnsi="Noto Sans" w:cs="Noto Sans"/>
          <w:iCs/>
          <w:sz w:val="18"/>
          <w:szCs w:val="18"/>
          <w:lang w:val="lt-LT"/>
        </w:rPr>
        <w:t xml:space="preserve">Kai kuriose </w:t>
      </w:r>
      <w:r w:rsidRPr="0059058B">
        <w:rPr>
          <w:rFonts w:ascii="Noto Sans" w:hAnsi="Noto Sans" w:cs="Noto Sans"/>
          <w:sz w:val="18"/>
          <w:szCs w:val="18"/>
          <w:lang w:val="lt-LT"/>
        </w:rPr>
        <w:t>teisinėse sistemose</w:t>
      </w:r>
      <w:r w:rsidRPr="0059058B">
        <w:rPr>
          <w:rFonts w:ascii="Noto Sans" w:hAnsi="Noto Sans" w:cs="Noto Sans"/>
          <w:iCs/>
          <w:sz w:val="18"/>
          <w:szCs w:val="18"/>
          <w:lang w:val="lt-LT"/>
        </w:rPr>
        <w:t xml:space="preserve"> asmeniui ar įmonei norint tapti </w:t>
      </w:r>
      <w:r w:rsidRPr="0059058B">
        <w:rPr>
          <w:rFonts w:ascii="Noto Sans" w:hAnsi="Noto Sans" w:cs="Noto Sans"/>
          <w:sz w:val="18"/>
          <w:szCs w:val="18"/>
          <w:lang w:val="lt-LT"/>
        </w:rPr>
        <w:t>vertintoju</w:t>
      </w:r>
      <w:r w:rsidRPr="0059058B">
        <w:rPr>
          <w:rFonts w:ascii="Noto Sans" w:hAnsi="Noto Sans" w:cs="Noto Sans"/>
          <w:iCs/>
          <w:sz w:val="18"/>
          <w:szCs w:val="18"/>
          <w:lang w:val="lt-LT"/>
        </w:rPr>
        <w:t>, būtina gauti licenciją (žiūrėti TVST „Vertintojų etikos principų kodeksą“).</w:t>
      </w:r>
    </w:p>
    <w:p w14:paraId="06732B85" w14:textId="77777777" w:rsidR="00DA0A08" w:rsidRPr="0059058B" w:rsidRDefault="00DA0A08" w:rsidP="00DA0A08">
      <w:pPr>
        <w:spacing w:before="172"/>
        <w:ind w:left="284" w:right="119"/>
        <w:jc w:val="both"/>
        <w:rPr>
          <w:rFonts w:ascii="Noto Sans" w:hAnsi="Noto Sans" w:cs="Noto Sans"/>
          <w:iCs/>
          <w:sz w:val="18"/>
          <w:szCs w:val="18"/>
          <w:lang w:val="lt-LT"/>
        </w:rPr>
      </w:pPr>
      <w:r w:rsidRPr="0059058B">
        <w:rPr>
          <w:rFonts w:ascii="Noto Sans" w:hAnsi="Noto Sans" w:cs="Noto Sans"/>
          <w:iCs/>
          <w:sz w:val="18"/>
          <w:szCs w:val="18"/>
          <w:lang w:val="lt-LT"/>
        </w:rPr>
        <w:t>TVS taikymą gali įpareigoti arba laisvanoriškai priimti:</w:t>
      </w:r>
    </w:p>
    <w:p w14:paraId="0B59467E" w14:textId="77777777" w:rsidR="00DA0A08" w:rsidRPr="0059058B" w:rsidRDefault="00DA0A08" w:rsidP="00DA0A08">
      <w:pPr>
        <w:pStyle w:val="ListParagraph"/>
        <w:numPr>
          <w:ilvl w:val="0"/>
          <w:numId w:val="2"/>
        </w:numPr>
        <w:spacing w:before="40"/>
        <w:ind w:left="709" w:right="742" w:hanging="425"/>
        <w:jc w:val="both"/>
        <w:rPr>
          <w:rFonts w:ascii="Noto Sans" w:hAnsi="Noto Sans" w:cs="Noto Sans"/>
          <w:iCs/>
          <w:sz w:val="18"/>
          <w:szCs w:val="18"/>
        </w:rPr>
      </w:pPr>
      <w:r w:rsidRPr="0059058B">
        <w:rPr>
          <w:rFonts w:ascii="Noto Sans" w:hAnsi="Noto Sans" w:cs="Noto Sans"/>
          <w:iCs/>
          <w:sz w:val="18"/>
          <w:szCs w:val="18"/>
        </w:rPr>
        <w:t>institucija, kurios jurisdikcijoje atliekamo vertinimo tikslas;</w:t>
      </w:r>
    </w:p>
    <w:p w14:paraId="7AF1F396" w14:textId="77777777" w:rsidR="00DA0A08" w:rsidRPr="0059058B" w:rsidRDefault="00DA0A08" w:rsidP="00DA0A08">
      <w:pPr>
        <w:pStyle w:val="ListParagraph"/>
        <w:numPr>
          <w:ilvl w:val="0"/>
          <w:numId w:val="2"/>
        </w:numPr>
        <w:spacing w:before="40"/>
        <w:ind w:left="709" w:right="742" w:hanging="425"/>
        <w:jc w:val="both"/>
        <w:rPr>
          <w:rFonts w:ascii="Noto Sans" w:hAnsi="Noto Sans" w:cs="Noto Sans"/>
          <w:iCs/>
          <w:sz w:val="18"/>
          <w:szCs w:val="18"/>
        </w:rPr>
      </w:pPr>
      <w:r w:rsidRPr="0059058B">
        <w:rPr>
          <w:rFonts w:ascii="Noto Sans" w:hAnsi="Noto Sans" w:cs="Noto Sans"/>
          <w:iCs/>
          <w:sz w:val="18"/>
          <w:szCs w:val="18"/>
        </w:rPr>
        <w:t>vertintojų profesinė organizacija nustatanti TVS taikymą konkretiems tikslams;</w:t>
      </w:r>
    </w:p>
    <w:p w14:paraId="575F890D" w14:textId="7FDE9CD4" w:rsidR="0007236B" w:rsidRPr="00A664E0" w:rsidRDefault="00DA0A08" w:rsidP="00EF6073">
      <w:pPr>
        <w:pStyle w:val="ListParagraph"/>
        <w:numPr>
          <w:ilvl w:val="0"/>
          <w:numId w:val="2"/>
        </w:numPr>
        <w:spacing w:before="40"/>
        <w:ind w:left="709" w:right="742" w:hanging="425"/>
        <w:jc w:val="both"/>
        <w:rPr>
          <w:rFonts w:ascii="Times New Roman" w:hAnsi="Times New Roman"/>
          <w:sz w:val="24"/>
          <w:szCs w:val="24"/>
        </w:rPr>
      </w:pPr>
      <w:r w:rsidRPr="0059058B">
        <w:rPr>
          <w:rFonts w:ascii="Noto Sans" w:hAnsi="Noto Sans" w:cs="Noto Sans"/>
          <w:iCs/>
          <w:sz w:val="18"/>
          <w:szCs w:val="18"/>
        </w:rPr>
        <w:t>sutartis tarp vertinimą užsakančios šalies ir vertintojo</w:t>
      </w:r>
      <w:r w:rsidR="00A664E0">
        <w:rPr>
          <w:rFonts w:ascii="Noto Sans" w:hAnsi="Noto Sans" w:cs="Noto Sans"/>
          <w:iCs/>
          <w:sz w:val="18"/>
          <w:szCs w:val="18"/>
        </w:rPr>
        <w:t>.</w:t>
      </w:r>
    </w:p>
    <w:p w14:paraId="4479ACD9" w14:textId="77777777" w:rsidR="00A664E0" w:rsidRDefault="00A664E0" w:rsidP="00A664E0">
      <w:pPr>
        <w:spacing w:before="40"/>
        <w:ind w:right="742"/>
        <w:jc w:val="both"/>
        <w:rPr>
          <w:rFonts w:ascii="Times New Roman" w:hAnsi="Times New Roman"/>
          <w:sz w:val="24"/>
          <w:szCs w:val="24"/>
        </w:rPr>
      </w:pPr>
    </w:p>
    <w:p w14:paraId="24150059" w14:textId="77777777" w:rsidR="00A664E0" w:rsidRPr="004703BC" w:rsidRDefault="00A664E0" w:rsidP="00A664E0">
      <w:pPr>
        <w:pStyle w:val="Heading30"/>
        <w:tabs>
          <w:tab w:val="clear" w:pos="567"/>
        </w:tabs>
        <w:ind w:right="262"/>
        <w:rPr>
          <w:rFonts w:ascii="Noto Sans" w:hAnsi="Noto Sans" w:cs="Noto Sans"/>
          <w:iCs/>
          <w:lang w:val="lt-LT"/>
        </w:rPr>
      </w:pPr>
      <w:r w:rsidRPr="004703BC">
        <w:rPr>
          <w:rFonts w:ascii="Noto Sans" w:hAnsi="Noto Sans" w:cs="Noto Sans"/>
          <w:iCs/>
          <w:lang w:val="lt-LT"/>
        </w:rPr>
        <w:t>Tarptautinių vertinimo standartų (TVS) struktūra</w:t>
      </w:r>
    </w:p>
    <w:p w14:paraId="54BB1EB6" w14:textId="77777777" w:rsidR="00A664E0" w:rsidRPr="002B7934" w:rsidRDefault="00A664E0" w:rsidP="00A664E0">
      <w:pPr>
        <w:pStyle w:val="BodyText0"/>
        <w:tabs>
          <w:tab w:val="clear" w:pos="567"/>
          <w:tab w:val="clear" w:pos="1134"/>
        </w:tabs>
        <w:ind w:right="262"/>
        <w:jc w:val="both"/>
        <w:rPr>
          <w:rFonts w:ascii="Noto Sans" w:hAnsi="Noto Sans" w:cs="Noto Sans"/>
          <w:iCs/>
          <w:lang w:val="lt-LT"/>
        </w:rPr>
      </w:pPr>
      <w:r w:rsidRPr="004703BC">
        <w:rPr>
          <w:rFonts w:ascii="Noto Sans" w:hAnsi="Noto Sans" w:cs="Noto Sans"/>
          <w:iCs/>
          <w:lang w:val="lt-LT"/>
        </w:rPr>
        <w:t xml:space="preserve">Tarptautinius vertinimo standartus sudaro bendrieji standartai, taikomi visiems </w:t>
      </w:r>
      <w:r w:rsidRPr="002B7934">
        <w:rPr>
          <w:rFonts w:ascii="Noto Sans" w:hAnsi="Noto Sans" w:cs="Noto Sans"/>
          <w:iCs/>
          <w:lang w:val="lt-LT"/>
        </w:rPr>
        <w:t xml:space="preserve">vertinimams, ir turto standartai, susiję su konkrečiomis vertinimo sritimis. Prieduose, kurie yra Tarptautinių vertinimo standartų dalis, pateikiama papildomos informacijos apie tam tikras suformuluotas sąvokas. Norint atlikti IVS reikalavimus atitinkantį vertinimą, reikia laikytis visų </w:t>
      </w:r>
      <w:r>
        <w:rPr>
          <w:rFonts w:ascii="Noto Sans" w:hAnsi="Noto Sans" w:cs="Noto Sans"/>
          <w:iCs/>
          <w:lang w:val="lt-LT"/>
        </w:rPr>
        <w:t>T</w:t>
      </w:r>
      <w:r w:rsidRPr="002B7934">
        <w:rPr>
          <w:rFonts w:ascii="Noto Sans" w:hAnsi="Noto Sans" w:cs="Noto Sans"/>
          <w:iCs/>
          <w:lang w:val="lt-LT"/>
        </w:rPr>
        <w:t xml:space="preserve">VS bendrųjų standartų, </w:t>
      </w:r>
      <w:r>
        <w:rPr>
          <w:rFonts w:ascii="Noto Sans" w:hAnsi="Noto Sans" w:cs="Noto Sans"/>
          <w:iCs/>
          <w:lang w:val="lt-LT"/>
        </w:rPr>
        <w:t>t</w:t>
      </w:r>
      <w:r w:rsidRPr="002B7934">
        <w:rPr>
          <w:rFonts w:ascii="Noto Sans" w:hAnsi="Noto Sans" w:cs="Noto Sans"/>
          <w:iCs/>
          <w:lang w:val="lt-LT"/>
        </w:rPr>
        <w:t>urto standartų ir priedų.</w:t>
      </w:r>
    </w:p>
    <w:p w14:paraId="299617CA" w14:textId="77777777" w:rsidR="00A664E0" w:rsidRPr="004C749D" w:rsidRDefault="00A664E0" w:rsidP="00A664E0">
      <w:pPr>
        <w:pStyle w:val="BodyText0"/>
        <w:tabs>
          <w:tab w:val="clear" w:pos="567"/>
          <w:tab w:val="clear" w:pos="1134"/>
          <w:tab w:val="clear" w:pos="1418"/>
        </w:tabs>
        <w:rPr>
          <w:rFonts w:ascii="Noto Sans" w:hAnsi="Noto Sans" w:cs="Noto Sans"/>
          <w:iCs/>
          <w:lang w:val="lt-LT"/>
        </w:rPr>
      </w:pPr>
    </w:p>
    <w:p w14:paraId="7E1B7AE5" w14:textId="77777777" w:rsidR="00A664E0" w:rsidRPr="000F6135" w:rsidRDefault="00A664E0" w:rsidP="00A664E0">
      <w:pPr>
        <w:pStyle w:val="BodyText0"/>
        <w:tabs>
          <w:tab w:val="clear" w:pos="567"/>
          <w:tab w:val="clear" w:pos="1134"/>
          <w:tab w:val="left" w:pos="1276"/>
        </w:tabs>
        <w:rPr>
          <w:rFonts w:ascii="Noto Sans" w:hAnsi="Noto Sans" w:cs="Noto Sans"/>
          <w:b/>
          <w:bCs/>
          <w:iCs/>
          <w:lang w:val="lt-LT"/>
        </w:rPr>
      </w:pPr>
      <w:r w:rsidRPr="000F6135">
        <w:rPr>
          <w:rFonts w:ascii="Noto Sans" w:hAnsi="Noto Sans" w:cs="Noto Sans"/>
          <w:b/>
          <w:bCs/>
          <w:iCs/>
          <w:lang w:val="lt-LT"/>
        </w:rPr>
        <w:t>Bendrieji standartai</w:t>
      </w:r>
    </w:p>
    <w:p w14:paraId="7F468D36" w14:textId="77777777" w:rsidR="00A664E0" w:rsidRPr="000F6135" w:rsidRDefault="00A664E0" w:rsidP="00A664E0">
      <w:pPr>
        <w:pStyle w:val="BodyText0"/>
        <w:tabs>
          <w:tab w:val="clear" w:pos="567"/>
          <w:tab w:val="clear" w:pos="1134"/>
          <w:tab w:val="left" w:pos="1276"/>
        </w:tabs>
        <w:jc w:val="both"/>
        <w:rPr>
          <w:rFonts w:ascii="Noto Sans" w:hAnsi="Noto Sans" w:cs="Noto Sans"/>
          <w:iCs/>
          <w:lang w:val="lt-LT"/>
        </w:rPr>
      </w:pPr>
      <w:r w:rsidRPr="000F6135">
        <w:rPr>
          <w:rFonts w:ascii="Noto Sans" w:hAnsi="Noto Sans" w:cs="Noto Sans"/>
          <w:iCs/>
          <w:lang w:val="lt-LT"/>
        </w:rPr>
        <w:t>Bendrieji standartai taikomi visiems vertinimams, jų struktūra yra:</w:t>
      </w:r>
    </w:p>
    <w:p w14:paraId="50A451B8" w14:textId="77777777" w:rsidR="00A664E0" w:rsidRPr="000F6135" w:rsidRDefault="00A664E0" w:rsidP="00A664E0">
      <w:pPr>
        <w:pStyle w:val="BodyText0"/>
        <w:tabs>
          <w:tab w:val="clear" w:pos="567"/>
          <w:tab w:val="clear" w:pos="1134"/>
          <w:tab w:val="left" w:pos="1276"/>
        </w:tabs>
        <w:spacing w:after="60"/>
        <w:jc w:val="both"/>
        <w:rPr>
          <w:rFonts w:ascii="Noto Sans" w:hAnsi="Noto Sans" w:cs="Noto Sans"/>
          <w:iCs/>
          <w:lang w:val="lt-LT"/>
        </w:rPr>
      </w:pPr>
      <w:r w:rsidRPr="000F6135">
        <w:rPr>
          <w:rFonts w:ascii="Noto Sans" w:hAnsi="Noto Sans" w:cs="Noto Sans"/>
          <w:iCs/>
          <w:lang w:val="lt-LT"/>
        </w:rPr>
        <w:t>100-asis TVS „Vertinimo struktūriniai pagrindai“</w:t>
      </w:r>
    </w:p>
    <w:p w14:paraId="4ADFD87C" w14:textId="77777777" w:rsidR="00A664E0" w:rsidRPr="000F6135" w:rsidRDefault="00A664E0" w:rsidP="00A664E0">
      <w:pPr>
        <w:pStyle w:val="BodyText0"/>
        <w:tabs>
          <w:tab w:val="clear" w:pos="567"/>
          <w:tab w:val="clear" w:pos="1134"/>
          <w:tab w:val="left" w:pos="1276"/>
        </w:tabs>
        <w:spacing w:after="60"/>
        <w:jc w:val="both"/>
        <w:rPr>
          <w:rFonts w:ascii="Noto Sans" w:hAnsi="Noto Sans" w:cs="Noto Sans"/>
          <w:iCs/>
          <w:lang w:val="lt-LT"/>
        </w:rPr>
      </w:pPr>
      <w:r w:rsidRPr="000F6135">
        <w:rPr>
          <w:rFonts w:ascii="Noto Sans" w:hAnsi="Noto Sans" w:cs="Noto Sans"/>
          <w:iCs/>
          <w:lang w:val="lt-LT"/>
        </w:rPr>
        <w:t>101-asis TVS „Darbo apimtis“</w:t>
      </w:r>
    </w:p>
    <w:p w14:paraId="0880E252" w14:textId="77777777" w:rsidR="00A664E0" w:rsidRPr="000F6135" w:rsidRDefault="00A664E0" w:rsidP="00A664E0">
      <w:pPr>
        <w:pStyle w:val="BodyText0"/>
        <w:tabs>
          <w:tab w:val="clear" w:pos="567"/>
          <w:tab w:val="clear" w:pos="1134"/>
          <w:tab w:val="left" w:pos="1276"/>
        </w:tabs>
        <w:spacing w:after="0"/>
        <w:jc w:val="both"/>
        <w:rPr>
          <w:rFonts w:ascii="Noto Sans" w:hAnsi="Noto Sans" w:cs="Noto Sans"/>
          <w:szCs w:val="18"/>
          <w:lang w:val="lt-LT"/>
        </w:rPr>
      </w:pPr>
      <w:r w:rsidRPr="000F6135">
        <w:rPr>
          <w:rFonts w:ascii="Noto Sans" w:hAnsi="Noto Sans" w:cs="Noto Sans"/>
          <w:iCs/>
          <w:lang w:val="lt-LT"/>
        </w:rPr>
        <w:t xml:space="preserve">102-asis </w:t>
      </w:r>
      <w:r w:rsidRPr="000F6135">
        <w:rPr>
          <w:rFonts w:ascii="Noto Sans" w:hAnsi="Noto Sans" w:cs="Noto Sans"/>
          <w:iCs/>
          <w:szCs w:val="18"/>
          <w:lang w:val="lt-LT"/>
        </w:rPr>
        <w:t>TVS „</w:t>
      </w:r>
      <w:r w:rsidRPr="000F6135">
        <w:rPr>
          <w:rFonts w:ascii="Noto Sans" w:hAnsi="Noto Sans" w:cs="Noto Sans"/>
          <w:szCs w:val="18"/>
          <w:lang w:val="lt-LT"/>
        </w:rPr>
        <w:t>Vertės pagrindai“</w:t>
      </w:r>
    </w:p>
    <w:p w14:paraId="53770C06" w14:textId="77777777" w:rsidR="00A664E0" w:rsidRPr="000F6135" w:rsidRDefault="00A664E0" w:rsidP="00A664E0">
      <w:pPr>
        <w:pStyle w:val="BodyText0"/>
        <w:tabs>
          <w:tab w:val="clear" w:pos="567"/>
          <w:tab w:val="clear" w:pos="851"/>
          <w:tab w:val="clear" w:pos="1134"/>
        </w:tabs>
        <w:spacing w:after="0"/>
        <w:ind w:firstLine="1137"/>
        <w:jc w:val="both"/>
        <w:rPr>
          <w:rFonts w:ascii="Noto Sans" w:hAnsi="Noto Sans" w:cs="Noto Sans"/>
          <w:szCs w:val="18"/>
          <w:lang w:val="lt-LT"/>
        </w:rPr>
      </w:pPr>
      <w:r w:rsidRPr="000F6135">
        <w:rPr>
          <w:rFonts w:ascii="Noto Sans" w:hAnsi="Noto Sans" w:cs="Noto Sans"/>
          <w:szCs w:val="18"/>
          <w:lang w:val="lt-LT"/>
        </w:rPr>
        <w:t>Priedas: „TVS apibrėžti vertės pagrindai“</w:t>
      </w:r>
    </w:p>
    <w:p w14:paraId="191530C7" w14:textId="77777777" w:rsidR="00A664E0" w:rsidRPr="000F6135" w:rsidRDefault="00A664E0" w:rsidP="00A664E0">
      <w:pPr>
        <w:pStyle w:val="BodyText0"/>
        <w:tabs>
          <w:tab w:val="clear" w:pos="567"/>
          <w:tab w:val="clear" w:pos="851"/>
          <w:tab w:val="clear" w:pos="1418"/>
        </w:tabs>
        <w:spacing w:after="0"/>
        <w:ind w:left="1843"/>
        <w:jc w:val="both"/>
        <w:rPr>
          <w:rFonts w:ascii="Noto Sans" w:hAnsi="Noto Sans" w:cs="Noto Sans"/>
          <w:szCs w:val="18"/>
          <w:lang w:val="lt-LT"/>
        </w:rPr>
      </w:pPr>
      <w:r w:rsidRPr="000F6135">
        <w:rPr>
          <w:rFonts w:ascii="Noto Sans" w:hAnsi="Noto Sans" w:cs="Noto Sans"/>
          <w:szCs w:val="18"/>
          <w:lang w:val="lt-LT"/>
        </w:rPr>
        <w:t>„Kiti vertės pagrindai“</w:t>
      </w:r>
    </w:p>
    <w:p w14:paraId="5CFCF9AA" w14:textId="77777777" w:rsidR="00A664E0" w:rsidRPr="000F6135" w:rsidRDefault="00A664E0" w:rsidP="00A664E0">
      <w:pPr>
        <w:pStyle w:val="BodyText0"/>
        <w:tabs>
          <w:tab w:val="clear" w:pos="567"/>
          <w:tab w:val="clear" w:pos="851"/>
          <w:tab w:val="clear" w:pos="1418"/>
        </w:tabs>
        <w:spacing w:after="60"/>
        <w:ind w:left="1843"/>
        <w:jc w:val="both"/>
        <w:rPr>
          <w:rFonts w:ascii="Noto Sans" w:hAnsi="Noto Sans" w:cs="Noto Sans"/>
          <w:iCs/>
          <w:lang w:val="lt-LT"/>
        </w:rPr>
      </w:pPr>
      <w:r w:rsidRPr="000F6135">
        <w:rPr>
          <w:rFonts w:ascii="Noto Sans" w:hAnsi="Noto Sans" w:cs="Noto Sans"/>
          <w:szCs w:val="18"/>
          <w:lang w:val="lt-LT"/>
        </w:rPr>
        <w:t>„Bazinė vertės prielaida“</w:t>
      </w:r>
    </w:p>
    <w:p w14:paraId="7002D183" w14:textId="77777777" w:rsidR="00A664E0" w:rsidRPr="000F6135" w:rsidRDefault="00A664E0" w:rsidP="00A664E0">
      <w:pPr>
        <w:pStyle w:val="BodyText0"/>
        <w:tabs>
          <w:tab w:val="clear" w:pos="567"/>
          <w:tab w:val="clear" w:pos="1134"/>
          <w:tab w:val="left" w:pos="1276"/>
        </w:tabs>
        <w:spacing w:after="0"/>
        <w:jc w:val="both"/>
        <w:rPr>
          <w:rFonts w:ascii="Noto Sans" w:hAnsi="Noto Sans" w:cs="Noto Sans"/>
          <w:iCs/>
          <w:lang w:val="lt-LT"/>
        </w:rPr>
      </w:pPr>
      <w:r w:rsidRPr="000F6135">
        <w:rPr>
          <w:rFonts w:ascii="Noto Sans" w:hAnsi="Noto Sans" w:cs="Noto Sans"/>
          <w:iCs/>
          <w:lang w:val="lt-LT"/>
        </w:rPr>
        <w:t>103-asis TVS „Vertinimo požiūriai“</w:t>
      </w:r>
    </w:p>
    <w:p w14:paraId="372C77DD" w14:textId="77777777" w:rsidR="00A664E0" w:rsidRPr="000F6135" w:rsidRDefault="00A664E0" w:rsidP="00A664E0">
      <w:pPr>
        <w:pStyle w:val="BodyText0"/>
        <w:tabs>
          <w:tab w:val="clear" w:pos="1134"/>
        </w:tabs>
        <w:spacing w:after="60"/>
        <w:ind w:left="1134"/>
        <w:jc w:val="both"/>
        <w:rPr>
          <w:rFonts w:ascii="Noto Sans" w:hAnsi="Noto Sans" w:cs="Noto Sans"/>
          <w:iCs/>
          <w:lang w:val="lt-LT"/>
        </w:rPr>
      </w:pPr>
      <w:r w:rsidRPr="000F6135">
        <w:rPr>
          <w:rFonts w:ascii="Noto Sans" w:hAnsi="Noto Sans" w:cs="Noto Sans"/>
          <w:iCs/>
          <w:lang w:val="lt-LT"/>
        </w:rPr>
        <w:t>Priedas: „Vertinimo metodas“</w:t>
      </w:r>
    </w:p>
    <w:p w14:paraId="3FFF3B11" w14:textId="77777777" w:rsidR="00A664E0" w:rsidRPr="000F6135" w:rsidRDefault="00A664E0" w:rsidP="00A664E0">
      <w:pPr>
        <w:pStyle w:val="BodyText0"/>
        <w:tabs>
          <w:tab w:val="clear" w:pos="567"/>
          <w:tab w:val="clear" w:pos="1134"/>
          <w:tab w:val="left" w:pos="1276"/>
        </w:tabs>
        <w:spacing w:after="0"/>
        <w:jc w:val="both"/>
        <w:rPr>
          <w:rFonts w:ascii="Noto Sans" w:hAnsi="Noto Sans" w:cs="Noto Sans"/>
          <w:iCs/>
          <w:lang w:val="lt-LT"/>
        </w:rPr>
      </w:pPr>
      <w:r w:rsidRPr="000F6135">
        <w:rPr>
          <w:rFonts w:ascii="Noto Sans" w:hAnsi="Noto Sans" w:cs="Noto Sans"/>
          <w:iCs/>
          <w:lang w:val="lt-LT"/>
        </w:rPr>
        <w:t>104-asis TVS „Duomenys ir pradiniai duomenys“</w:t>
      </w:r>
    </w:p>
    <w:p w14:paraId="3D89D697" w14:textId="77777777" w:rsidR="00A664E0" w:rsidRPr="000F6135" w:rsidRDefault="00A664E0" w:rsidP="00A664E0">
      <w:pPr>
        <w:pStyle w:val="BodyText0"/>
        <w:tabs>
          <w:tab w:val="clear" w:pos="1134"/>
          <w:tab w:val="left" w:pos="1276"/>
        </w:tabs>
        <w:spacing w:after="60"/>
        <w:ind w:left="1134"/>
        <w:jc w:val="both"/>
        <w:rPr>
          <w:rFonts w:ascii="Noto Sans" w:hAnsi="Noto Sans" w:cs="Noto Sans"/>
          <w:iCs/>
          <w:lang w:val="lt-LT"/>
        </w:rPr>
      </w:pPr>
      <w:r w:rsidRPr="000F6135">
        <w:rPr>
          <w:rFonts w:ascii="Noto Sans" w:hAnsi="Noto Sans" w:cs="Noto Sans"/>
          <w:iCs/>
          <w:lang w:val="lt-LT"/>
        </w:rPr>
        <w:t>Priedas: „ESG aspektai“</w:t>
      </w:r>
    </w:p>
    <w:p w14:paraId="6BFA2968" w14:textId="77777777" w:rsidR="00A664E0" w:rsidRPr="000F6135" w:rsidRDefault="00A664E0" w:rsidP="00A664E0">
      <w:pPr>
        <w:pStyle w:val="BodyText0"/>
        <w:tabs>
          <w:tab w:val="clear" w:pos="567"/>
          <w:tab w:val="clear" w:pos="1134"/>
          <w:tab w:val="left" w:pos="1276"/>
        </w:tabs>
        <w:spacing w:after="60"/>
        <w:ind w:right="262"/>
        <w:jc w:val="both"/>
        <w:rPr>
          <w:rFonts w:ascii="Noto Sans" w:hAnsi="Noto Sans" w:cs="Noto Sans"/>
          <w:iCs/>
          <w:lang w:val="lt-LT"/>
        </w:rPr>
      </w:pPr>
      <w:r w:rsidRPr="000F6135">
        <w:rPr>
          <w:rFonts w:ascii="Noto Sans" w:hAnsi="Noto Sans" w:cs="Noto Sans"/>
          <w:iCs/>
          <w:lang w:val="lt-LT"/>
        </w:rPr>
        <w:t>105-asis TVS „Vertinimo modeliai“</w:t>
      </w:r>
    </w:p>
    <w:p w14:paraId="771370B7" w14:textId="77777777" w:rsidR="00A664E0" w:rsidRPr="000F6135" w:rsidRDefault="00A664E0" w:rsidP="00A664E0">
      <w:pPr>
        <w:pStyle w:val="BodyText0"/>
        <w:tabs>
          <w:tab w:val="clear" w:pos="567"/>
          <w:tab w:val="clear" w:pos="1134"/>
          <w:tab w:val="left" w:pos="1276"/>
        </w:tabs>
        <w:spacing w:after="60"/>
        <w:ind w:right="262"/>
        <w:jc w:val="both"/>
        <w:rPr>
          <w:rFonts w:ascii="Noto Sans" w:hAnsi="Noto Sans" w:cs="Noto Sans"/>
          <w:iCs/>
          <w:lang w:val="lt-LT"/>
        </w:rPr>
      </w:pPr>
      <w:r w:rsidRPr="000F6135">
        <w:rPr>
          <w:rFonts w:ascii="Noto Sans" w:hAnsi="Noto Sans" w:cs="Noto Sans"/>
          <w:iCs/>
          <w:lang w:val="lt-LT"/>
        </w:rPr>
        <w:t>106-asis TVS „Dokumenta</w:t>
      </w:r>
      <w:r>
        <w:rPr>
          <w:rFonts w:ascii="Noto Sans" w:hAnsi="Noto Sans" w:cs="Noto Sans"/>
          <w:iCs/>
          <w:lang w:val="lt-LT"/>
        </w:rPr>
        <w:t>i</w:t>
      </w:r>
      <w:r w:rsidRPr="000F6135">
        <w:rPr>
          <w:rFonts w:ascii="Noto Sans" w:hAnsi="Noto Sans" w:cs="Noto Sans"/>
          <w:iCs/>
          <w:lang w:val="lt-LT"/>
        </w:rPr>
        <w:t xml:space="preserve"> ir ataskaita“</w:t>
      </w:r>
    </w:p>
    <w:p w14:paraId="3FD81916" w14:textId="77777777" w:rsidR="00A664E0" w:rsidRPr="000F6135" w:rsidRDefault="00A664E0" w:rsidP="00A664E0">
      <w:pPr>
        <w:pStyle w:val="BodyText0"/>
        <w:tabs>
          <w:tab w:val="clear" w:pos="1134"/>
          <w:tab w:val="left" w:pos="1276"/>
        </w:tabs>
        <w:spacing w:after="120"/>
        <w:ind w:left="567" w:right="262"/>
        <w:jc w:val="both"/>
        <w:rPr>
          <w:rFonts w:ascii="Noto Sans" w:hAnsi="Noto Sans" w:cs="Noto Sans"/>
          <w:b/>
          <w:bCs/>
          <w:iCs/>
          <w:lang w:val="lt-LT"/>
        </w:rPr>
      </w:pPr>
    </w:p>
    <w:p w14:paraId="60473D87" w14:textId="77777777" w:rsidR="00A664E0" w:rsidRPr="000F6135" w:rsidRDefault="00A664E0" w:rsidP="00A664E0">
      <w:pPr>
        <w:pStyle w:val="BodyText0"/>
        <w:tabs>
          <w:tab w:val="clear" w:pos="567"/>
          <w:tab w:val="clear" w:pos="1134"/>
          <w:tab w:val="left" w:pos="1276"/>
        </w:tabs>
        <w:spacing w:after="120"/>
        <w:ind w:right="262"/>
        <w:jc w:val="both"/>
        <w:rPr>
          <w:rFonts w:ascii="Noto Sans" w:hAnsi="Noto Sans" w:cs="Noto Sans"/>
          <w:b/>
          <w:bCs/>
          <w:iCs/>
          <w:lang w:val="lt-LT"/>
        </w:rPr>
      </w:pPr>
      <w:r w:rsidRPr="000F6135">
        <w:rPr>
          <w:rFonts w:ascii="Noto Sans" w:hAnsi="Noto Sans" w:cs="Noto Sans"/>
          <w:b/>
          <w:bCs/>
          <w:iCs/>
          <w:lang w:val="lt-LT"/>
        </w:rPr>
        <w:t>Turto standartai</w:t>
      </w:r>
    </w:p>
    <w:p w14:paraId="28104A66" w14:textId="77777777" w:rsidR="00A664E0" w:rsidRPr="000F6135" w:rsidRDefault="00A664E0" w:rsidP="00A664E0">
      <w:pPr>
        <w:pStyle w:val="BodyText0"/>
        <w:tabs>
          <w:tab w:val="clear" w:pos="567"/>
          <w:tab w:val="clear" w:pos="1134"/>
          <w:tab w:val="left" w:pos="1276"/>
        </w:tabs>
        <w:spacing w:after="120"/>
        <w:ind w:right="546"/>
        <w:jc w:val="both"/>
        <w:rPr>
          <w:rFonts w:ascii="Noto Sans" w:hAnsi="Noto Sans" w:cs="Noto Sans"/>
          <w:iCs/>
          <w:lang w:val="lt-LT"/>
        </w:rPr>
      </w:pPr>
      <w:r w:rsidRPr="000F6135">
        <w:rPr>
          <w:rFonts w:ascii="Noto Sans" w:hAnsi="Noto Sans" w:cs="Noto Sans"/>
          <w:iCs/>
          <w:lang w:val="lt-LT"/>
        </w:rPr>
        <w:t>Greta bendrųjų standartų reikalavimų, papildomai konkretiems turto ir įsipareigojimų tipams taikomi turto standartai, kurie yra sekantys:</w:t>
      </w:r>
    </w:p>
    <w:p w14:paraId="1402E32E" w14:textId="77777777" w:rsidR="00A664E0" w:rsidRPr="000F6135" w:rsidRDefault="00A664E0" w:rsidP="00A664E0">
      <w:pPr>
        <w:pStyle w:val="BodyText0"/>
        <w:tabs>
          <w:tab w:val="clear" w:pos="567"/>
          <w:tab w:val="clear" w:pos="1134"/>
          <w:tab w:val="left" w:pos="1276"/>
        </w:tabs>
        <w:spacing w:after="60"/>
        <w:ind w:right="262"/>
        <w:jc w:val="both"/>
        <w:rPr>
          <w:rFonts w:ascii="Noto Sans" w:hAnsi="Noto Sans" w:cs="Noto Sans"/>
          <w:iCs/>
          <w:lang w:val="lt-LT"/>
        </w:rPr>
      </w:pPr>
      <w:r w:rsidRPr="000F6135">
        <w:rPr>
          <w:rFonts w:ascii="Noto Sans" w:hAnsi="Noto Sans" w:cs="Noto Sans"/>
          <w:iCs/>
          <w:lang w:val="lt-LT"/>
        </w:rPr>
        <w:t>200-asis TVS „Verslas ir verslo interesai“</w:t>
      </w:r>
    </w:p>
    <w:p w14:paraId="4DD2110F" w14:textId="77777777" w:rsidR="00A664E0" w:rsidRPr="000F6135" w:rsidRDefault="00A664E0" w:rsidP="00A664E0">
      <w:pPr>
        <w:pStyle w:val="BodyText0"/>
        <w:tabs>
          <w:tab w:val="clear" w:pos="567"/>
          <w:tab w:val="clear" w:pos="1134"/>
          <w:tab w:val="left" w:pos="1276"/>
        </w:tabs>
        <w:spacing w:after="60"/>
        <w:ind w:right="262"/>
        <w:jc w:val="both"/>
        <w:rPr>
          <w:rFonts w:ascii="Noto Sans" w:hAnsi="Noto Sans" w:cs="Noto Sans"/>
          <w:iCs/>
          <w:lang w:val="lt-LT"/>
        </w:rPr>
      </w:pPr>
      <w:r w:rsidRPr="000F6135">
        <w:rPr>
          <w:rFonts w:ascii="Noto Sans" w:hAnsi="Noto Sans" w:cs="Noto Sans"/>
          <w:iCs/>
          <w:lang w:val="lt-LT"/>
        </w:rPr>
        <w:t>210-asis TVS „Nematerialusis turtas“</w:t>
      </w:r>
    </w:p>
    <w:p w14:paraId="0EE552E1" w14:textId="77777777" w:rsidR="00A664E0" w:rsidRPr="000F6135" w:rsidRDefault="00A664E0" w:rsidP="00A664E0">
      <w:pPr>
        <w:pStyle w:val="BodyText0"/>
        <w:tabs>
          <w:tab w:val="clear" w:pos="567"/>
          <w:tab w:val="clear" w:pos="1134"/>
          <w:tab w:val="left" w:pos="1276"/>
        </w:tabs>
        <w:spacing w:after="60"/>
        <w:ind w:right="262"/>
        <w:jc w:val="both"/>
        <w:rPr>
          <w:rFonts w:ascii="Noto Sans" w:hAnsi="Noto Sans" w:cs="Noto Sans"/>
          <w:iCs/>
          <w:lang w:val="lt-LT"/>
        </w:rPr>
      </w:pPr>
      <w:r w:rsidRPr="000F6135">
        <w:rPr>
          <w:rFonts w:ascii="Noto Sans" w:hAnsi="Noto Sans" w:cs="Noto Sans"/>
          <w:iCs/>
          <w:lang w:val="lt-LT"/>
        </w:rPr>
        <w:t>220-asis TVS „Nefinansiniai įsipareigojimai“</w:t>
      </w:r>
    </w:p>
    <w:p w14:paraId="0EA940D5" w14:textId="77777777" w:rsidR="00A664E0" w:rsidRPr="000F6135" w:rsidRDefault="00A664E0" w:rsidP="00A664E0">
      <w:pPr>
        <w:pStyle w:val="BodyText0"/>
        <w:tabs>
          <w:tab w:val="clear" w:pos="567"/>
          <w:tab w:val="clear" w:pos="1134"/>
          <w:tab w:val="left" w:pos="1276"/>
        </w:tabs>
        <w:spacing w:after="60"/>
        <w:ind w:right="262"/>
        <w:jc w:val="both"/>
        <w:rPr>
          <w:rFonts w:ascii="Noto Sans" w:hAnsi="Noto Sans" w:cs="Noto Sans"/>
          <w:iCs/>
          <w:lang w:val="lt-LT"/>
        </w:rPr>
      </w:pPr>
      <w:r w:rsidRPr="000F6135">
        <w:rPr>
          <w:rFonts w:ascii="Noto Sans" w:hAnsi="Noto Sans" w:cs="Noto Sans"/>
          <w:iCs/>
          <w:lang w:val="lt-LT"/>
        </w:rPr>
        <w:t>230-asis TVS „Atsargos“</w:t>
      </w:r>
    </w:p>
    <w:p w14:paraId="0E28DC9C" w14:textId="77777777" w:rsidR="00A664E0" w:rsidRPr="000F6135" w:rsidRDefault="00A664E0" w:rsidP="00A664E0">
      <w:pPr>
        <w:pStyle w:val="BodyText0"/>
        <w:tabs>
          <w:tab w:val="clear" w:pos="567"/>
          <w:tab w:val="clear" w:pos="1134"/>
          <w:tab w:val="left" w:pos="1276"/>
        </w:tabs>
        <w:spacing w:after="60"/>
        <w:ind w:right="262"/>
        <w:jc w:val="both"/>
        <w:rPr>
          <w:rFonts w:ascii="Noto Sans" w:hAnsi="Noto Sans" w:cs="Noto Sans"/>
          <w:iCs/>
          <w:lang w:val="lt-LT"/>
        </w:rPr>
      </w:pPr>
      <w:r w:rsidRPr="000F6135">
        <w:rPr>
          <w:rFonts w:ascii="Noto Sans" w:hAnsi="Noto Sans" w:cs="Noto Sans"/>
          <w:iCs/>
          <w:lang w:val="lt-LT"/>
        </w:rPr>
        <w:t>300-asis TVS „Įranga, įrenginiai ir infrastruktūra“</w:t>
      </w:r>
    </w:p>
    <w:p w14:paraId="50A40D1C" w14:textId="77777777" w:rsidR="00A664E0" w:rsidRPr="000F6135" w:rsidRDefault="00A664E0" w:rsidP="00A664E0">
      <w:pPr>
        <w:pStyle w:val="BodyText0"/>
        <w:tabs>
          <w:tab w:val="clear" w:pos="567"/>
          <w:tab w:val="clear" w:pos="1134"/>
          <w:tab w:val="left" w:pos="1276"/>
        </w:tabs>
        <w:spacing w:after="60"/>
        <w:ind w:right="262"/>
        <w:jc w:val="both"/>
        <w:rPr>
          <w:rFonts w:ascii="Noto Sans" w:hAnsi="Noto Sans" w:cs="Noto Sans"/>
          <w:iCs/>
          <w:lang w:val="lt-LT"/>
        </w:rPr>
      </w:pPr>
      <w:r w:rsidRPr="000F6135">
        <w:rPr>
          <w:rFonts w:ascii="Noto Sans" w:hAnsi="Noto Sans" w:cs="Noto Sans"/>
          <w:iCs/>
          <w:lang w:val="lt-LT"/>
        </w:rPr>
        <w:t xml:space="preserve">400-asis TVS „Teisės į nekilnojamąjį turtą“ </w:t>
      </w:r>
    </w:p>
    <w:p w14:paraId="4097CD1A" w14:textId="77777777" w:rsidR="00A664E0" w:rsidRPr="000F6135" w:rsidRDefault="00A664E0" w:rsidP="00A664E0">
      <w:pPr>
        <w:pStyle w:val="BodyText0"/>
        <w:tabs>
          <w:tab w:val="clear" w:pos="567"/>
          <w:tab w:val="clear" w:pos="1134"/>
          <w:tab w:val="left" w:pos="1276"/>
        </w:tabs>
        <w:spacing w:after="60"/>
        <w:ind w:right="262"/>
        <w:jc w:val="both"/>
        <w:rPr>
          <w:rFonts w:ascii="Noto Sans" w:hAnsi="Noto Sans" w:cs="Noto Sans"/>
          <w:iCs/>
          <w:lang w:val="lt-LT"/>
        </w:rPr>
      </w:pPr>
      <w:r w:rsidRPr="000F6135">
        <w:rPr>
          <w:rFonts w:ascii="Noto Sans" w:hAnsi="Noto Sans" w:cs="Noto Sans"/>
          <w:iCs/>
          <w:lang w:val="lt-LT"/>
        </w:rPr>
        <w:t>410-asis TVS „Plėtrai skirtas turtas“</w:t>
      </w:r>
    </w:p>
    <w:p w14:paraId="1AA447CC" w14:textId="77777777" w:rsidR="00A664E0" w:rsidRPr="000F6135" w:rsidRDefault="00A664E0" w:rsidP="00A664E0">
      <w:pPr>
        <w:pStyle w:val="BodyText0"/>
        <w:tabs>
          <w:tab w:val="clear" w:pos="567"/>
          <w:tab w:val="clear" w:pos="1134"/>
          <w:tab w:val="left" w:pos="1276"/>
        </w:tabs>
        <w:spacing w:after="0"/>
        <w:ind w:right="262"/>
        <w:jc w:val="both"/>
        <w:rPr>
          <w:rFonts w:ascii="Noto Sans" w:hAnsi="Noto Sans" w:cs="Noto Sans"/>
          <w:iCs/>
          <w:lang w:val="lt-LT"/>
        </w:rPr>
      </w:pPr>
      <w:r w:rsidRPr="000F6135">
        <w:rPr>
          <w:rFonts w:ascii="Noto Sans" w:hAnsi="Noto Sans" w:cs="Noto Sans"/>
          <w:iCs/>
          <w:lang w:val="lt-LT"/>
        </w:rPr>
        <w:t>500-asis TVS „Finansinės priemonės“</w:t>
      </w:r>
    </w:p>
    <w:p w14:paraId="2B631F6C" w14:textId="77777777" w:rsidR="00A664E0" w:rsidRDefault="00A664E0" w:rsidP="00A664E0">
      <w:pPr>
        <w:pStyle w:val="BodyText0"/>
        <w:tabs>
          <w:tab w:val="clear" w:pos="567"/>
          <w:tab w:val="clear" w:pos="1134"/>
          <w:tab w:val="left" w:pos="1276"/>
        </w:tabs>
        <w:spacing w:after="0"/>
        <w:ind w:right="262"/>
        <w:jc w:val="both"/>
        <w:rPr>
          <w:rFonts w:ascii="Noto Sans" w:hAnsi="Noto Sans" w:cs="Noto Sans"/>
          <w:iCs/>
          <w:lang w:val="lt-LT"/>
        </w:rPr>
      </w:pPr>
    </w:p>
    <w:p w14:paraId="23FC60A9" w14:textId="77777777" w:rsidR="00A664E0" w:rsidRPr="00A664E0" w:rsidRDefault="00A664E0" w:rsidP="00A664E0">
      <w:pPr>
        <w:spacing w:before="40"/>
        <w:ind w:right="742"/>
        <w:jc w:val="both"/>
        <w:rPr>
          <w:rFonts w:ascii="Times New Roman" w:hAnsi="Times New Roman"/>
          <w:sz w:val="24"/>
          <w:szCs w:val="24"/>
        </w:rPr>
      </w:pPr>
    </w:p>
    <w:sectPr w:rsidR="00A664E0" w:rsidRPr="00A664E0" w:rsidSect="0007236B">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EFFC" w14:textId="77777777" w:rsidR="00565B7F" w:rsidRDefault="00565B7F" w:rsidP="0007236B">
      <w:pPr>
        <w:spacing w:after="0" w:line="240" w:lineRule="auto"/>
      </w:pPr>
      <w:r>
        <w:separator/>
      </w:r>
    </w:p>
  </w:endnote>
  <w:endnote w:type="continuationSeparator" w:id="0">
    <w:p w14:paraId="0416DE41" w14:textId="77777777" w:rsidR="00565B7F" w:rsidRDefault="00565B7F" w:rsidP="0007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7408114"/>
      <w:docPartObj>
        <w:docPartGallery w:val="Page Numbers (Bottom of Page)"/>
        <w:docPartUnique/>
      </w:docPartObj>
    </w:sdtPr>
    <w:sdtEndPr>
      <w:rPr>
        <w:noProof/>
      </w:rPr>
    </w:sdtEndPr>
    <w:sdtContent>
      <w:p w14:paraId="575F8912" w14:textId="77777777" w:rsidR="0007236B" w:rsidRPr="0007236B" w:rsidRDefault="0007236B" w:rsidP="0007236B">
        <w:pPr>
          <w:pStyle w:val="Footer"/>
          <w:pBdr>
            <w:top w:val="single" w:sz="4" w:space="1" w:color="auto"/>
          </w:pBdr>
          <w:jc w:val="center"/>
          <w:rPr>
            <w:rFonts w:ascii="Times New Roman" w:hAnsi="Times New Roman" w:cs="Times New Roman"/>
          </w:rPr>
        </w:pPr>
        <w:r w:rsidRPr="0007236B">
          <w:rPr>
            <w:rFonts w:ascii="Times New Roman" w:hAnsi="Times New Roman" w:cs="Times New Roman"/>
          </w:rPr>
          <w:fldChar w:fldCharType="begin"/>
        </w:r>
        <w:r w:rsidRPr="0007236B">
          <w:rPr>
            <w:rFonts w:ascii="Times New Roman" w:hAnsi="Times New Roman" w:cs="Times New Roman"/>
          </w:rPr>
          <w:instrText xml:space="preserve"> PAGE   \* MERGEFORMAT </w:instrText>
        </w:r>
        <w:r w:rsidRPr="0007236B">
          <w:rPr>
            <w:rFonts w:ascii="Times New Roman" w:hAnsi="Times New Roman" w:cs="Times New Roman"/>
          </w:rPr>
          <w:fldChar w:fldCharType="separate"/>
        </w:r>
        <w:r w:rsidR="00C07DFD">
          <w:rPr>
            <w:rFonts w:ascii="Times New Roman" w:hAnsi="Times New Roman" w:cs="Times New Roman"/>
            <w:noProof/>
          </w:rPr>
          <w:t>1</w:t>
        </w:r>
        <w:r w:rsidRPr="0007236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9F91" w14:textId="77777777" w:rsidR="00565B7F" w:rsidRDefault="00565B7F" w:rsidP="0007236B">
      <w:pPr>
        <w:spacing w:after="0" w:line="240" w:lineRule="auto"/>
      </w:pPr>
      <w:r>
        <w:separator/>
      </w:r>
    </w:p>
  </w:footnote>
  <w:footnote w:type="continuationSeparator" w:id="0">
    <w:p w14:paraId="376D0B2F" w14:textId="77777777" w:rsidR="00565B7F" w:rsidRDefault="00565B7F" w:rsidP="00072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22516"/>
    <w:multiLevelType w:val="hybridMultilevel"/>
    <w:tmpl w:val="EEAA8204"/>
    <w:lvl w:ilvl="0" w:tplc="35125CE6">
      <w:start w:val="1"/>
      <w:numFmt w:val="bullet"/>
      <w:lvlText w:val="•"/>
      <w:lvlJc w:val="left"/>
      <w:pPr>
        <w:tabs>
          <w:tab w:val="num" w:pos="720"/>
        </w:tabs>
        <w:ind w:left="720" w:hanging="360"/>
      </w:pPr>
      <w:rPr>
        <w:rFonts w:ascii="Arial" w:hAnsi="Arial" w:hint="default"/>
      </w:rPr>
    </w:lvl>
    <w:lvl w:ilvl="1" w:tplc="4CBC3E58" w:tentative="1">
      <w:start w:val="1"/>
      <w:numFmt w:val="bullet"/>
      <w:lvlText w:val="•"/>
      <w:lvlJc w:val="left"/>
      <w:pPr>
        <w:tabs>
          <w:tab w:val="num" w:pos="1440"/>
        </w:tabs>
        <w:ind w:left="1440" w:hanging="360"/>
      </w:pPr>
      <w:rPr>
        <w:rFonts w:ascii="Arial" w:hAnsi="Arial" w:hint="default"/>
      </w:rPr>
    </w:lvl>
    <w:lvl w:ilvl="2" w:tplc="083AD584" w:tentative="1">
      <w:start w:val="1"/>
      <w:numFmt w:val="bullet"/>
      <w:lvlText w:val="•"/>
      <w:lvlJc w:val="left"/>
      <w:pPr>
        <w:tabs>
          <w:tab w:val="num" w:pos="2160"/>
        </w:tabs>
        <w:ind w:left="2160" w:hanging="360"/>
      </w:pPr>
      <w:rPr>
        <w:rFonts w:ascii="Arial" w:hAnsi="Arial" w:hint="default"/>
      </w:rPr>
    </w:lvl>
    <w:lvl w:ilvl="3" w:tplc="D0D071D2" w:tentative="1">
      <w:start w:val="1"/>
      <w:numFmt w:val="bullet"/>
      <w:lvlText w:val="•"/>
      <w:lvlJc w:val="left"/>
      <w:pPr>
        <w:tabs>
          <w:tab w:val="num" w:pos="2880"/>
        </w:tabs>
        <w:ind w:left="2880" w:hanging="360"/>
      </w:pPr>
      <w:rPr>
        <w:rFonts w:ascii="Arial" w:hAnsi="Arial" w:hint="default"/>
      </w:rPr>
    </w:lvl>
    <w:lvl w:ilvl="4" w:tplc="F5D82AD6" w:tentative="1">
      <w:start w:val="1"/>
      <w:numFmt w:val="bullet"/>
      <w:lvlText w:val="•"/>
      <w:lvlJc w:val="left"/>
      <w:pPr>
        <w:tabs>
          <w:tab w:val="num" w:pos="3600"/>
        </w:tabs>
        <w:ind w:left="3600" w:hanging="360"/>
      </w:pPr>
      <w:rPr>
        <w:rFonts w:ascii="Arial" w:hAnsi="Arial" w:hint="default"/>
      </w:rPr>
    </w:lvl>
    <w:lvl w:ilvl="5" w:tplc="A5505E00" w:tentative="1">
      <w:start w:val="1"/>
      <w:numFmt w:val="bullet"/>
      <w:lvlText w:val="•"/>
      <w:lvlJc w:val="left"/>
      <w:pPr>
        <w:tabs>
          <w:tab w:val="num" w:pos="4320"/>
        </w:tabs>
        <w:ind w:left="4320" w:hanging="360"/>
      </w:pPr>
      <w:rPr>
        <w:rFonts w:ascii="Arial" w:hAnsi="Arial" w:hint="default"/>
      </w:rPr>
    </w:lvl>
    <w:lvl w:ilvl="6" w:tplc="B9185868" w:tentative="1">
      <w:start w:val="1"/>
      <w:numFmt w:val="bullet"/>
      <w:lvlText w:val="•"/>
      <w:lvlJc w:val="left"/>
      <w:pPr>
        <w:tabs>
          <w:tab w:val="num" w:pos="5040"/>
        </w:tabs>
        <w:ind w:left="5040" w:hanging="360"/>
      </w:pPr>
      <w:rPr>
        <w:rFonts w:ascii="Arial" w:hAnsi="Arial" w:hint="default"/>
      </w:rPr>
    </w:lvl>
    <w:lvl w:ilvl="7" w:tplc="E5767FEC" w:tentative="1">
      <w:start w:val="1"/>
      <w:numFmt w:val="bullet"/>
      <w:lvlText w:val="•"/>
      <w:lvlJc w:val="left"/>
      <w:pPr>
        <w:tabs>
          <w:tab w:val="num" w:pos="5760"/>
        </w:tabs>
        <w:ind w:left="5760" w:hanging="360"/>
      </w:pPr>
      <w:rPr>
        <w:rFonts w:ascii="Arial" w:hAnsi="Arial" w:hint="default"/>
      </w:rPr>
    </w:lvl>
    <w:lvl w:ilvl="8" w:tplc="FBFCAD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23B5D30"/>
    <w:multiLevelType w:val="hybridMultilevel"/>
    <w:tmpl w:val="6F8AA39A"/>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num w:numId="1" w16cid:durableId="1152793914">
    <w:abstractNumId w:val="0"/>
  </w:num>
  <w:num w:numId="2" w16cid:durableId="1429813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6B"/>
    <w:rsid w:val="00000D01"/>
    <w:rsid w:val="0007236B"/>
    <w:rsid w:val="00241954"/>
    <w:rsid w:val="00256614"/>
    <w:rsid w:val="003927C0"/>
    <w:rsid w:val="00565B7F"/>
    <w:rsid w:val="0059058B"/>
    <w:rsid w:val="00771DCC"/>
    <w:rsid w:val="007D0548"/>
    <w:rsid w:val="0099758B"/>
    <w:rsid w:val="00A664E0"/>
    <w:rsid w:val="00B8137D"/>
    <w:rsid w:val="00C07DFD"/>
    <w:rsid w:val="00DA0A08"/>
    <w:rsid w:val="00F561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890B"/>
  <w15:chartTrackingRefBased/>
  <w15:docId w15:val="{5AD2E5A9-7A4D-4CF8-B8EE-62E87B5D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664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36B"/>
  </w:style>
  <w:style w:type="paragraph" w:styleId="Footer">
    <w:name w:val="footer"/>
    <w:basedOn w:val="Normal"/>
    <w:link w:val="FooterChar"/>
    <w:uiPriority w:val="99"/>
    <w:unhideWhenUsed/>
    <w:rsid w:val="0007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36B"/>
  </w:style>
  <w:style w:type="paragraph" w:styleId="BodyText">
    <w:name w:val="Body Text"/>
    <w:basedOn w:val="Normal"/>
    <w:link w:val="BodyTextChar"/>
    <w:rsid w:val="00DA0A08"/>
    <w:pPr>
      <w:widowControl w:val="0"/>
      <w:spacing w:after="0" w:line="240" w:lineRule="auto"/>
      <w:ind w:left="680" w:hanging="284"/>
    </w:pPr>
    <w:rPr>
      <w:rFonts w:ascii="Arial" w:eastAsia="Times New Roman" w:hAnsi="Arial" w:cs="Times New Roman"/>
      <w:sz w:val="18"/>
      <w:szCs w:val="18"/>
      <w:lang w:val="lt-LT" w:eastAsia="lt-LT"/>
    </w:rPr>
  </w:style>
  <w:style w:type="character" w:customStyle="1" w:styleId="BodyTextChar">
    <w:name w:val="Body Text Char"/>
    <w:basedOn w:val="DefaultParagraphFont"/>
    <w:link w:val="BodyText"/>
    <w:rsid w:val="00DA0A08"/>
    <w:rPr>
      <w:rFonts w:ascii="Arial" w:eastAsia="Times New Roman" w:hAnsi="Arial" w:cs="Times New Roman"/>
      <w:sz w:val="18"/>
      <w:szCs w:val="18"/>
      <w:lang w:val="lt-LT" w:eastAsia="lt-LT"/>
    </w:rPr>
  </w:style>
  <w:style w:type="paragraph" w:customStyle="1" w:styleId="Heading11">
    <w:name w:val="Heading 11"/>
    <w:basedOn w:val="Normal"/>
    <w:rsid w:val="00DA0A08"/>
    <w:pPr>
      <w:widowControl w:val="0"/>
      <w:spacing w:after="0" w:line="240" w:lineRule="auto"/>
      <w:ind w:left="113"/>
      <w:outlineLvl w:val="1"/>
    </w:pPr>
    <w:rPr>
      <w:rFonts w:ascii="Arial" w:eastAsia="Times New Roman" w:hAnsi="Arial" w:cs="Times New Roman"/>
      <w:b/>
      <w:bCs/>
      <w:sz w:val="40"/>
      <w:szCs w:val="40"/>
      <w:lang w:val="lt-LT" w:eastAsia="lt-LT"/>
    </w:rPr>
  </w:style>
  <w:style w:type="paragraph" w:styleId="ListParagraph">
    <w:name w:val="List Paragraph"/>
    <w:basedOn w:val="Normal"/>
    <w:uiPriority w:val="1"/>
    <w:qFormat/>
    <w:rsid w:val="00DA0A08"/>
    <w:pPr>
      <w:widowControl w:val="0"/>
      <w:spacing w:after="0" w:line="240" w:lineRule="auto"/>
    </w:pPr>
    <w:rPr>
      <w:rFonts w:ascii="Calibri" w:eastAsia="Times New Roman" w:hAnsi="Calibri" w:cs="Times New Roman"/>
      <w:lang w:val="lt-LT" w:eastAsia="lt-LT"/>
    </w:rPr>
  </w:style>
  <w:style w:type="paragraph" w:customStyle="1" w:styleId="BodyText0">
    <w:name w:val="BodyText"/>
    <w:basedOn w:val="Normal"/>
    <w:link w:val="BodyTextChar0"/>
    <w:qFormat/>
    <w:rsid w:val="00A664E0"/>
    <w:pPr>
      <w:tabs>
        <w:tab w:val="left" w:pos="567"/>
        <w:tab w:val="left" w:pos="851"/>
        <w:tab w:val="left" w:pos="1134"/>
        <w:tab w:val="left" w:pos="1418"/>
      </w:tabs>
      <w:spacing w:after="170" w:line="250" w:lineRule="auto"/>
    </w:pPr>
    <w:rPr>
      <w:rFonts w:ascii="Arial" w:eastAsia="Calibri" w:hAnsi="Arial" w:cs="Times New Roman"/>
      <w:sz w:val="18"/>
    </w:rPr>
  </w:style>
  <w:style w:type="character" w:customStyle="1" w:styleId="BodyTextChar0">
    <w:name w:val="BodyText Char"/>
    <w:link w:val="BodyText0"/>
    <w:rsid w:val="00A664E0"/>
    <w:rPr>
      <w:rFonts w:ascii="Arial" w:eastAsia="Calibri" w:hAnsi="Arial" w:cs="Times New Roman"/>
      <w:sz w:val="18"/>
    </w:rPr>
  </w:style>
  <w:style w:type="paragraph" w:customStyle="1" w:styleId="Heading30">
    <w:name w:val="Heading3"/>
    <w:basedOn w:val="Heading3"/>
    <w:link w:val="Heading3Char0"/>
    <w:qFormat/>
    <w:rsid w:val="00A664E0"/>
    <w:pPr>
      <w:tabs>
        <w:tab w:val="left" w:pos="567"/>
        <w:tab w:val="left" w:pos="851"/>
      </w:tabs>
      <w:spacing w:before="0" w:after="113"/>
    </w:pPr>
    <w:rPr>
      <w:rFonts w:ascii="Arial" w:eastAsia="Times New Roman" w:hAnsi="Arial" w:cs="Times New Roman"/>
      <w:b/>
      <w:color w:val="auto"/>
      <w:sz w:val="18"/>
    </w:rPr>
  </w:style>
  <w:style w:type="character" w:customStyle="1" w:styleId="Heading3Char0">
    <w:name w:val="Heading3 Char"/>
    <w:link w:val="Heading30"/>
    <w:rsid w:val="00A664E0"/>
    <w:rPr>
      <w:rFonts w:ascii="Arial" w:eastAsia="Times New Roman" w:hAnsi="Arial" w:cs="Times New Roman"/>
      <w:b/>
      <w:sz w:val="18"/>
      <w:szCs w:val="24"/>
    </w:rPr>
  </w:style>
  <w:style w:type="character" w:customStyle="1" w:styleId="Heading3Char">
    <w:name w:val="Heading 3 Char"/>
    <w:basedOn w:val="DefaultParagraphFont"/>
    <w:link w:val="Heading3"/>
    <w:uiPriority w:val="9"/>
    <w:semiHidden/>
    <w:rsid w:val="00A664E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71452">
      <w:bodyDiv w:val="1"/>
      <w:marLeft w:val="0"/>
      <w:marRight w:val="0"/>
      <w:marTop w:val="0"/>
      <w:marBottom w:val="0"/>
      <w:divBdr>
        <w:top w:val="none" w:sz="0" w:space="0" w:color="auto"/>
        <w:left w:val="none" w:sz="0" w:space="0" w:color="auto"/>
        <w:bottom w:val="none" w:sz="0" w:space="0" w:color="auto"/>
        <w:right w:val="none" w:sz="0" w:space="0" w:color="auto"/>
      </w:divBdr>
    </w:div>
    <w:div w:id="1570339604">
      <w:bodyDiv w:val="1"/>
      <w:marLeft w:val="0"/>
      <w:marRight w:val="0"/>
      <w:marTop w:val="0"/>
      <w:marBottom w:val="0"/>
      <w:divBdr>
        <w:top w:val="none" w:sz="0" w:space="0" w:color="auto"/>
        <w:left w:val="none" w:sz="0" w:space="0" w:color="auto"/>
        <w:bottom w:val="none" w:sz="0" w:space="0" w:color="auto"/>
        <w:right w:val="none" w:sz="0" w:space="0" w:color="auto"/>
      </w:divBdr>
      <w:divsChild>
        <w:div w:id="424107392">
          <w:marLeft w:val="547"/>
          <w:marRight w:val="0"/>
          <w:marTop w:val="0"/>
          <w:marBottom w:val="0"/>
          <w:divBdr>
            <w:top w:val="none" w:sz="0" w:space="0" w:color="auto"/>
            <w:left w:val="none" w:sz="0" w:space="0" w:color="auto"/>
            <w:bottom w:val="none" w:sz="0" w:space="0" w:color="auto"/>
            <w:right w:val="none" w:sz="0" w:space="0" w:color="auto"/>
          </w:divBdr>
        </w:div>
        <w:div w:id="17288448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7C11562D33B479041E1875919713D" ma:contentTypeVersion="18" ma:contentTypeDescription="Create a new document." ma:contentTypeScope="" ma:versionID="dddd8e0ccd07724cee7f966750dd4d8e">
  <xsd:schema xmlns:xsd="http://www.w3.org/2001/XMLSchema" xmlns:xs="http://www.w3.org/2001/XMLSchema" xmlns:p="http://schemas.microsoft.com/office/2006/metadata/properties" xmlns:ns2="f6b14d33-e636-46b7-8b21-0f9243696a4b" xmlns:ns3="383f865a-6fec-435e-903f-fabe8407eb96" targetNamespace="http://schemas.microsoft.com/office/2006/metadata/properties" ma:root="true" ma:fieldsID="06ea29d7d82fb506b754f579ea3e7725" ns2:_="" ns3:_="">
    <xsd:import namespace="f6b14d33-e636-46b7-8b21-0f9243696a4b"/>
    <xsd:import namespace="383f865a-6fec-435e-903f-fabe8407e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347802-c944-49b9-9ccc-84b2f1135757}"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14d33-e636-46b7-8b21-0f9243696a4b">
      <Terms xmlns="http://schemas.microsoft.com/office/infopath/2007/PartnerControls"/>
    </lcf76f155ced4ddcb4097134ff3c332f>
    <TaxCatchAll xmlns="383f865a-6fec-435e-903f-fabe8407eb96" xsi:nil="true"/>
  </documentManagement>
</p:properties>
</file>

<file path=customXml/itemProps1.xml><?xml version="1.0" encoding="utf-8"?>
<ds:datastoreItem xmlns:ds="http://schemas.openxmlformats.org/officeDocument/2006/customXml" ds:itemID="{AEFB3318-0403-4F4C-8108-3C6CF4997D16}"/>
</file>

<file path=customXml/itemProps2.xml><?xml version="1.0" encoding="utf-8"?>
<ds:datastoreItem xmlns:ds="http://schemas.openxmlformats.org/officeDocument/2006/customXml" ds:itemID="{7D874D38-3EA4-4F6D-B6FD-7F1F98B41B35}"/>
</file>

<file path=customXml/itemProps3.xml><?xml version="1.0" encoding="utf-8"?>
<ds:datastoreItem xmlns:ds="http://schemas.openxmlformats.org/officeDocument/2006/customXml" ds:itemID="{FF0B5C2D-3EE3-4323-BBAE-D0A6F540E8B5}"/>
</file>

<file path=docProps/app.xml><?xml version="1.0" encoding="utf-8"?>
<Properties xmlns="http://schemas.openxmlformats.org/officeDocument/2006/extended-properties" xmlns:vt="http://schemas.openxmlformats.org/officeDocument/2006/docPropsVTypes">
  <Template>Normal</Template>
  <TotalTime>23</TotalTime>
  <Pages>2</Pages>
  <Words>2145</Words>
  <Characters>1223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Liaugminas</dc:creator>
  <cp:keywords/>
  <dc:description/>
  <cp:lastModifiedBy>Rimantas Liaugminas | AVNT</cp:lastModifiedBy>
  <cp:revision>11</cp:revision>
  <dcterms:created xsi:type="dcterms:W3CDTF">2017-06-29T05:00:00Z</dcterms:created>
  <dcterms:modified xsi:type="dcterms:W3CDTF">2025-01-14T11:36:00Z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0x010100D8C7C11562D33B479041E1875919713D</vt:lpwstr>
  </property>
</Properties>
</file>